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d4213515747cc" /></Relationships>
</file>

<file path=word/document.xml><?xml version="1.0" encoding="utf-8"?>
<w:document xmlns:w="http://schemas.openxmlformats.org/wordprocessingml/2006/main">
  <w:body>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and Gaming Corporation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that is eligible to register with the corporation to participate in the Kentucky Horse Breeders' Incentive Fund.</w:t>
      </w:r>
    </w:p>
    <w:p>
      <w:pPr>
        <w:pStyle w:val="kar_subsection"/>
      </w:pPr>
      <w:r>
        <w:t xml:space="preserve">(2)</w:t>
      </w:r>
      <w:r>
        <w:t xml:space="preserve"> </w:t>
      </w:r>
      <w:r>
        <w:t xml:space="preserve">"Award distribution plan" means a plan submitted by a Kentucky affiliate to the corporation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that are used in establishing the identity of a horse by a registry recognized by the corporation.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corporation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that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corporation by:</w:t>
      </w:r>
    </w:p>
    <w:p>
      <w:pPr>
        <w:pStyle w:val="kar_paragraph"/>
      </w:pPr>
      <w:r>
        <w:t xml:space="preserve">(a)</w:t>
      </w:r>
      <w:r>
        <w:t xml:space="preserve"> </w:t>
      </w:r>
      <w:r>
        <w:t xml:space="preserve">Filing an "Application for Registration of Kentucky Affiliate with the Kentucky Horse Breeders' Incentive Fund", KHRGC Form 7-050-1, (10/2021); and</w:t>
      </w:r>
    </w:p>
    <w:p>
      <w:pPr>
        <w:pStyle w:val="kar_paragraph"/>
      </w:pPr>
      <w:r>
        <w:t xml:space="preserve">(b)</w:t>
      </w:r>
      <w:r>
        <w:t xml:space="preserve"> </w:t>
      </w:r>
      <w:r>
        <w:t xml:space="preserve">Filing with the application an award distribution plan to be reviewed and approved by the corporation.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corporation may establish, under its general jurisdiction, the KHBIF Advisory Committee (the "advisory committee"). If established, the advisory committee shall consist of three (3) members appointed by the chairman of the corporation by July 1 of each year. One (1) member shall be recommended to the chairman for appointment by the Kentucky Equine Education Project (KEEP). If KEEP has not recommended a member for appointment by July 1 of a given year, the Chairman of the corporation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p>
    <w:p>
      <w:pPr>
        <w:pStyle w:val="kar_paragraph"/>
      </w:pPr>
      <w:r>
        <w:t xml:space="preserve">(a)</w:t>
      </w:r>
      <w:r>
        <w:t xml:space="preserve"> </w:t>
      </w:r>
      <w:r>
        <w:t xml:space="preserve">The advisory committee shall advise and assist the corporation in the registration process described in this section. The advisory committee shall make a recommendation of approval or denial to the corporation for each applicant based upon the application and compliance with the requirements established in subsection (13) of this section.</w:t>
      </w:r>
    </w:p>
    <w:p>
      <w:pPr>
        <w:pStyle w:val="kar_paragraph"/>
      </w:pPr>
      <w:r>
        <w:t xml:space="preserve">(b)</w:t>
      </w:r>
      <w:r>
        <w:t xml:space="preserve"> </w:t>
      </w:r>
      <w:r>
        <w:t xml:space="preserve">The corporation shall employ qualified personnel necessary to assist the corporation and the advisory committee in carrying out the provisions of this administrative regulation. These personnel shall serve at the pleasure of the corporation, and compensation for these personnel shall be fixed by the corporation.</w:t>
      </w:r>
    </w:p>
    <w:p>
      <w:pPr>
        <w:pStyle w:val="kar_subsection"/>
      </w:pPr>
      <w:r>
        <w:t xml:space="preserve">(9)</w:t>
      </w:r>
      <w:r>
        <w:t xml:space="preserve"> </w:t>
      </w:r>
      <w:r>
        <w:t xml:space="preserve">After the advisory committee recommends to the corporation the approval or denial of an application, the corporation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corporation on or prior to November 1, 2021. Any Kentucky affiliate that registered with the corporation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corporation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corporation on or before the November 1 deadline.</w:t>
      </w:r>
    </w:p>
    <w:p>
      <w:pPr>
        <w:pStyle w:val="kar_subsection"/>
      </w:pPr>
      <w:r>
        <w:t xml:space="preserve">(14)</w:t>
      </w:r>
      <w:r>
        <w:t xml:space="preserve"> </w:t>
      </w:r>
      <w:r>
        <w:t xml:space="preserve">The application and the accompanying award distribution plan provided to the corporation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corporation shall certify the number of horses. Optionally, if the Kentucky affiliate demonstrates to the corporation that it is unable to obtain an independent third party to certify horse numbers as required in this subsection, the corporation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receive claim money from only one (1) Kentucky affiliate per year.</w:t>
      </w:r>
    </w:p>
    <w:p>
      <w:pPr>
        <w:pStyle w:val="kar_subparagraph"/>
      </w:pPr>
      <w:r>
        <w:t xml:space="preserve">3.</w:t>
      </w:r>
      <w:r>
        <w:t xml:space="preserve"> </w:t>
      </w:r>
      <w:r>
        <w:t xml:space="preserve">The affiliate shall provide the data electronically to the corporation and in a format agreeable to the corporation;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p>
    <w:p>
      <w:pPr>
        <w:pStyle w:val="kar_paragraph"/>
      </w:pPr>
      <w:r>
        <w:t xml:space="preserve">(a)</w:t>
      </w:r>
      <w:r>
        <w:t xml:space="preserve"> </w:t>
      </w:r>
      <w:r>
        <w:t xml:space="preserve">The corporation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corporation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corporation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corporation,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corporation pursuant to Section 2(3)(b) of this administrative regulation.</w:t>
      </w:r>
    </w:p>
    <w:p>
      <w:pPr>
        <w:pStyle w:val="kar_subsection"/>
      </w:pPr>
      <w:r>
        <w:t xml:space="preserve">(6)</w:t>
      </w:r>
      <w:r>
        <w:t xml:space="preserve"> </w:t>
      </w:r>
      <w:r>
        <w:t xml:space="preserve">The corporation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corporation of the names of the incentive winners who are entitled to awards for contests held during the previous year. The Kentucky affiliate shall also, by October 1 of each year, notify the corporation of the names of the horses registered to that affiliate, and the date of each horse's registration. If a horse is registered with more than one (1) affiliate, the corporation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corporation shall generate claim forms for the appropriate Kentucky affiliate.</w:t>
      </w:r>
    </w:p>
    <w:p>
      <w:pPr>
        <w:pStyle w:val="kar_paragraph"/>
      </w:pPr>
      <w:r>
        <w:t xml:space="preserve">(b)</w:t>
      </w:r>
      <w:r>
        <w:t xml:space="preserve"> </w:t>
      </w:r>
      <w:r>
        <w:t xml:space="preserve">The Kentucky affiliate shall provide the claim forms received from the corporation to its incentive winners from the previous year.</w:t>
      </w:r>
    </w:p>
    <w:p>
      <w:pPr>
        <w:pStyle w:val="kar_paragraph"/>
      </w:pPr>
      <w:r>
        <w:t xml:space="preserve">(c)</w:t>
      </w:r>
      <w:r>
        <w:t xml:space="preserve"> </w:t>
      </w:r>
      <w:r>
        <w:t xml:space="preserve">The Kentucky affiliate shall provide a letter to the corporation, which certifies that it has notified all incentive winners of their awards from the previous year. The corporation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corporation no later than December 31 of the same year in which the corporation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KHRGC Form 7-050-2, (10/2021).</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corporation and a Kentucky affiliate or national breed organization arising under this administrative regulation shall be raised by the aggrieved party filing a petition seeking relief with the executive director of the corporation,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corporation may take the following actions, which would be subject to appeal as established in 810 KAR 7:070:</w:t>
      </w:r>
    </w:p>
    <w:p>
      <w:pPr>
        <w:pStyle w:val="kar_paragraph"/>
      </w:pPr>
      <w:r>
        <w:t xml:space="preserve">(a)</w:t>
      </w:r>
      <w:r>
        <w:t xml:space="preserve"> </w:t>
      </w:r>
      <w:r>
        <w:t xml:space="preserve">For a violation of 810 KAR 7:070, the corporation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corporation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corporation indicates that an individual who is a member of, or acting on behalf of, a Kentucky affiliate or national breed organization has, without the knowledge or consent of the Kentucky affiliate or national breed organization, violated 810 KAR 7:070, then the corporation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KHRGC 7-050-1, (10/2021); and</w:t>
      </w:r>
    </w:p>
    <w:p>
      <w:pPr>
        <w:pStyle w:val="kar_paragraph"/>
      </w:pPr>
      <w:r>
        <w:t xml:space="preserve">(b)</w:t>
      </w:r>
      <w:r>
        <w:t xml:space="preserve"> </w:t>
      </w:r>
      <w:r>
        <w:t xml:space="preserve">"Claim Form of Incentive Winner for Award from the Kentucky Horse Breeders' Incentive Fund", KHRGC 7-050-02, (10/2021).</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Pike, Lexington, Kentucky 40511, Monday through Friday, 8 a.m. to 4:30 p.m.</w:t>
      </w:r>
    </w:p>
    <w:p>
      <w:pPr>
        <w:pStyle w:val="kar_subsection"/>
      </w:pPr>
      <w:r>
        <w:t xml:space="preserve">(3)</w:t>
      </w:r>
      <w:r>
        <w:t xml:space="preserve"> </w:t>
      </w:r>
      <w:r>
        <w:t xml:space="preserve">This material may also be obtained from the KHRGC Web site at www.khrc.ky.gov.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2242; 3201; eff. 5-4-2007; 35 Ky.R. 1914; 2743; eff. 7-6-2009; 47 Ky.R. 867, 1582; eff. 5-4-2021; Recodified from 811 KAR 2:120, 5-6-2021; 48 Ky.R. 2282, 2732; eff. 8-2-2022;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4543731bb48a0" /><Relationship Type="http://schemas.openxmlformats.org/officeDocument/2006/relationships/settings" Target="/word/settings.xml" Id="R581b5db4c62b4477" /></Relationships>
</file>