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6f71bb94284afe" /></Relationships>
</file>

<file path=word/document.xml><?xml version="1.0" encoding="utf-8"?>
<w:document xmlns:w="http://schemas.openxmlformats.org/wordprocessingml/2006/main">
  <w:body>
    <w:p>
      <w:pPr>
        <w:pStyle w:val="kar_citation"/>
      </w:pPr>
      <w:r>
        <w:t>201 KAR 1:015.</w:t>
      </w:r>
      <w:r>
        <w:t xml:space="preserve"> </w:t>
      </w:r>
      <w:r>
        <w:t xml:space="preserve">Per diem compensation.</w:t>
      </w:r>
    </w:p>
    <w:p>
      <w:pPr>
        <w:pStyle w:val="kar_markup_metadata"/>
      </w:pPr>
      <w:r>
        <w:t xml:space="preserve">RELATES TO: </w:t>
      </w:r>
      <w:r>
        <w:t xml:space="preserve">KRS 325.230</w:t>
      </w:r>
    </w:p>
    <w:p>
      <w:pPr>
        <w:pStyle w:val="kar_markup_metadata"/>
      </w:pPr>
      <w:r>
        <w:t xml:space="preserve">STATUTORY AUTHORITY: </w:t>
      </w:r>
      <w:r>
        <w:t xml:space="preserve">KRS 325.230(2), 325.240(2)</w:t>
      </w:r>
    </w:p>
    <w:p>
      <w:pPr>
        <w:pStyle w:val="kar_markup_metadata"/>
      </w:pPr>
      <w:r>
        <w:t xml:space="preserve">NECESSITY, FUNCTION, AND CONFORMITY: </w:t>
      </w:r>
      <w:r>
        <w:t xml:space="preserve">KRS 325.240(2) authorizes the Kentucky State Board of Accountancy to promulgate administrative regulations for the administration of KRS Chapter 325. KRS 325.230(2) requires the board to establish the amount of per diem compensation to be paid to board members, not to exceed $200. This administrative regulation establishes the per diem amount to be received by board members.</w:t>
      </w:r>
    </w:p>
    <w:p>
      <w:pPr>
        <w:pStyle w:val="kar_section"/>
      </w:pPr>
      <w:r>
        <w:t xml:space="preserve">Section 1.</w:t>
      </w:r>
      <w:r>
        <w:t xml:space="preserve"> </w:t>
      </w:r>
      <w:r>
        <w:t xml:space="preserve">Each member of the board shall receive $200 for each day spent in the discharge of his or her official duties.</w:t>
      </w:r>
    </w:p>
    <w:p>
      <w:pPr>
        <w:pStyle w:val="kar_history"/>
        <w:sectPr>
          <w:pgSz w:w="12240" w:h="15840" w:orient="portrait" w:code="1"/>
          <w:pgMar w:top="1080" w:right="1080" w:bottom="1080" w:left="1080" w:header="720" w:footer="720" w:gutter="0"/>
          <w:paperSrc w:first="263" w:other="263"/>
          <w:noEndnote/>
          <w:docGrid w:linePitch="218"/>
        </w:sectPr>
      </w:pPr>
      <w:r>
        <w:t xml:space="preserve">(SBA-1-C; 1 Ky.R. 1009; eff. 6-11-1975; Am. 3 Ky.R. 438; eff. 1-5-1977; 18 Ky.R. 2972; eff. 6-7-1992; 32 Ky.R. 2061; 33 Ky.R. 380; eff. 9-1-2006; 43 Ky.R. 600; eff. 1-6-2017; Expired 7 years after last effective date (KRS 13A.3102), 01-06-2024.)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95476fb9e045d6" /><Relationship Type="http://schemas.openxmlformats.org/officeDocument/2006/relationships/settings" Target="/word/settings.xml" Id="Rb32a0c4906fe4c45" /></Relationships>
</file>