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236aa6ce8444f0" /></Relationships>
</file>

<file path=word/document.xml><?xml version="1.0" encoding="utf-8"?>
<w:document xmlns:w="http://schemas.openxmlformats.org/wordprocessingml/2006/main">
  <w:body>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314.042(11),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 or</w:t>
      </w:r>
    </w:p>
    <w:p>
      <w:pPr>
        <w:pStyle w:val="kar_subparagraph"/>
      </w:pPr>
      <w:r>
        <w:t xml:space="preserve">2.</w:t>
      </w:r>
      <w:r>
        <w:t xml:space="preserve"> </w:t>
      </w:r>
      <w: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earn a minimum of five (5) contact hours in pharmacology, as required by KRS 314.073(8).</w:t>
      </w:r>
    </w:p>
    <w:p>
      <w:pPr>
        <w:pStyle w:val="kar_paragraph"/>
      </w:pPr>
      <w:r>
        <w:t xml:space="preserve">(b)</w:t>
      </w:r>
      <w:r>
        <w:t xml:space="preserve"> </w:t>
      </w:r>
      <w:r>
        <w:t xml:space="preserve">An APRN who is registered with the DEA and has a PDMP account, as defined by 201 KAR 20:057, Section 1(7),shall earn a minimum of five (5) contact hours in pharmacology, including at least three (3) contact hours on either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After June 27, 2023, and before the APRN's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t xml:space="preserve">(3)</w:t>
      </w:r>
      <w:r>
        <w:t xml:space="preserve"> </w:t>
      </w:r>
      <w:r>
        <w:t xml:space="preserve">The following APRNs shall be deemed to have satisfied the earning requirement in subsection (2) of this section:</w:t>
      </w:r>
    </w:p>
    <w:p>
      <w:pPr>
        <w:pStyle w:val="kar_paragraph"/>
      </w:pPr>
      <w:r>
        <w:t xml:space="preserve">(a)</w:t>
      </w:r>
      <w:r>
        <w:t xml:space="preserve"> </w:t>
      </w:r>
      <w:r>
        <w:t xml:space="preserve"> </w:t>
      </w:r>
    </w:p>
    <w:p>
      <w:pPr>
        <w:pStyle w:val="kar_subparagraph"/>
      </w:pPr>
      <w:r>
        <w:t xml:space="preserve">1.</w:t>
      </w:r>
      <w:r>
        <w:t xml:space="preserve"> </w:t>
      </w:r>
      <w: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subparagraph"/>
      </w:pPr>
      <w:r>
        <w:t xml:space="preserve">2.</w:t>
      </w:r>
      <w:r>
        <w:t xml:space="preserve"> </w:t>
      </w:r>
      <w:r>
        <w:t xml:space="preserve"> </w:t>
      </w:r>
    </w:p>
    <w:p>
      <w:pPr>
        <w:pStyle w:val="kar_clause"/>
      </w:pPr>
      <w:r>
        <w:t xml:space="preserve">a.</w:t>
      </w:r>
      <w:r>
        <w:t xml:space="preserve"> </w:t>
      </w:r>
      <w:r>
        <w:t xml:space="preserve">Those who have satisfied this training by earning a minimum of eight (8) hours of training on treatment and management of patients with opioid or other substance use disorders.</w:t>
      </w:r>
    </w:p>
    <w:p>
      <w:pPr>
        <w:pStyle w:val="kar_clause"/>
      </w:pPr>
      <w:r>
        <w:t xml:space="preserve">b.</w:t>
      </w:r>
      <w:r>
        <w:t xml:space="preserve"> </w:t>
      </w:r>
      <w:r>
        <w:t xml:space="preserve">Past trainings on the treatment and management of patients with opioid or other substance use disorders may count towards an APRN meeting this requirement, including past DATA-Waiver trainings.</w:t>
      </w:r>
    </w:p>
    <w:p>
      <w:pPr>
        <w:pStyle w:val="kar_paragraph"/>
      </w:pPr>
      <w:r>
        <w:t xml:space="preserve">(b)</w:t>
      </w:r>
      <w:r>
        <w:t xml:space="preserve"> </w:t>
      </w:r>
      <w: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section.</w:t>
      </w:r>
    </w:p>
    <w:p>
      <w:pPr>
        <w:pStyle w:val="kar_subsection"/>
      </w:pPr>
      <w:r>
        <w:t xml:space="preserve">(4)</w:t>
      </w:r>
      <w:r>
        <w:t xml:space="preserve"> </w:t>
      </w:r>
      <w:r>
        <w:t xml:space="preserve">Sexual assault nurse examiners shall earn the continuing education required by 201 KAR 20:411, Section 8.</w:t>
      </w:r>
    </w:p>
    <w:p>
      <w:pPr>
        <w:pStyle w:val="kar_subsection"/>
      </w:pPr>
      <w:r>
        <w:t xml:space="preserve">(5)</w:t>
      </w:r>
      <w:r>
        <w:t xml:space="preserve"> </w:t>
      </w:r>
      <w:r>
        <w:t xml:space="preserve">Nurses shall earn, the following one (1) time continuing education requirements:,</w:t>
      </w:r>
    </w:p>
    <w:p>
      <w:pPr>
        <w:pStyle w:val="kar_paragraph"/>
      </w:pPr>
      <w:r>
        <w:t xml:space="preserve">(a)</w:t>
      </w:r>
      <w:r>
        <w:t xml:space="preserve"> </w:t>
      </w:r>
      <w:r>
        <w:t xml:space="preserve">A minimum of one and one-half (1.5) contact hours in pediatric abusive head trauma as required by KRS 314.073(6);</w:t>
      </w:r>
    </w:p>
    <w:p>
      <w:pPr>
        <w:pStyle w:val="kar_paragraph"/>
      </w:pPr>
      <w:r>
        <w:t xml:space="preserve">(b)</w:t>
      </w:r>
      <w:r>
        <w:t xml:space="preserve"> </w:t>
      </w:r>
      <w:r>
        <w:t xml:space="preserve">A minimum of three (3) contact hours on domestic violence, and elder abuse, neglect, and exploitation as required by KRS 194A.540(9)(d);</w:t>
      </w:r>
    </w:p>
    <w:p>
      <w:pPr>
        <w:pStyle w:val="kar_paragraph"/>
      </w:pPr>
      <w:r>
        <w:t xml:space="preserve">(c)</w:t>
      </w:r>
      <w:r>
        <w:t xml:space="preserve"> </w:t>
      </w:r>
      <w:r>
        <w:t xml:space="preserve">A minimum of one (1) contact hour on Alzheimer's disease and other forms of dementia as required by KRS 314.073(7).</w:t>
      </w:r>
    </w:p>
    <w:p>
      <w:pPr>
        <w:pStyle w:val="kar_paragraph"/>
      </w:pPr>
      <w:r>
        <w:t xml:space="preserve">(d)</w:t>
      </w:r>
      <w:r>
        <w:t xml:space="preserve"> </w:t>
      </w:r>
      <w:r>
        <w:t xml:space="preserve"> A minimum of two (2) contact hours on the subject of suicide prevention, which shall consist of one (1) contact hour on suicide prevention generally, and one (1) contact hour that addresses:</w:t>
      </w:r>
    </w:p>
    <w:p>
      <w:pPr>
        <w:pStyle w:val="kar_subparagraph"/>
      </w:pPr>
      <w:r>
        <w:t xml:space="preserve">1.</w:t>
      </w:r>
      <w:r>
        <w:t xml:space="preserve"> </w:t>
      </w:r>
      <w:r>
        <w:t xml:space="preserve">Chronic toxic stress and secondary traumatic stress potentially increasing the incidence of suicide amongst nurses;</w:t>
      </w:r>
    </w:p>
    <w:p>
      <w:pPr>
        <w:pStyle w:val="kar_subparagraph"/>
      </w:pPr>
      <w:r>
        <w:t xml:space="preserve">2.</w:t>
      </w:r>
      <w:r>
        <w:t xml:space="preserve"> </w:t>
      </w:r>
      <w:r>
        <w:t xml:space="preserve">A confidential and standardized pathway to care for nurses that addresses screening, assessing, safety planning, referrals, and follow-up for nurses at risk for suicide;</w:t>
      </w:r>
    </w:p>
    <w:p>
      <w:pPr>
        <w:pStyle w:val="kar_subparagraph"/>
      </w:pPr>
      <w:r>
        <w:t xml:space="preserve">3.</w:t>
      </w:r>
      <w:r>
        <w:t xml:space="preserve"> </w:t>
      </w:r>
      <w:r>
        <w:t xml:space="preserve">Systems of care, evidence-informed approaches, and best practices to reduce suicide rates; and</w:t>
      </w:r>
    </w:p>
    <w:p>
      <w:pPr>
        <w:pStyle w:val="kar_subparagraph"/>
      </w:pPr>
      <w:r>
        <w:t xml:space="preserve">4.</w:t>
      </w:r>
      <w:r>
        <w:t xml:space="preserve"> </w:t>
      </w:r>
      <w:r>
        <w:t xml:space="preserve">Ethical legal considerations of caring for patients and nurses who are suicidal.</w:t>
      </w:r>
    </w:p>
    <w:p>
      <w:pPr>
        <w:pStyle w:val="kar_subsection"/>
      </w:pPr>
      <w:r>
        <w:t xml:space="preserve">(6)</w:t>
      </w:r>
      <w:r>
        <w:t xml:space="preserve"> </w:t>
      </w:r>
      <w:r>
        <w:t xml:space="preserve">Nurses who have satisfied each of the continuing education requirements in subsection (5) of this section on or before July 15, 2024, shall not be required to complete them again.</w:t>
      </w:r>
    </w:p>
    <w:p>
      <w:pPr>
        <w:pStyle w:val="kar_subsection"/>
      </w:pPr>
      <w:r>
        <w:t xml:space="preserve">(7)</w:t>
      </w:r>
      <w:r>
        <w:t xml:space="preserve"> </w:t>
      </w:r>
      <w:r>
        <w:t xml:space="preserve">Registered nurses, licensed practical nurses, and advanced practice registered nurses who hold an active nursing license on July 15, 2024, shall satisfy the continuing competency requirement in subsection (5)(c) of this section on or before October 31, 2027.</w:t>
      </w:r>
    </w:p>
    <w:p>
      <w:pPr>
        <w:pStyle w:val="kar_subsection"/>
      </w:pPr>
      <w:r>
        <w:t xml:space="preserve">(8)</w:t>
      </w:r>
      <w:r>
        <w:t xml:space="preserve"> </w:t>
      </w:r>
      <w:r>
        <w:t xml:space="preserve">The following licensees shall satisfy the continuing competency requirement in subsection (5) of this section within three (3) years of licensure:</w:t>
      </w:r>
    </w:p>
    <w:p>
      <w:pPr>
        <w:pStyle w:val="kar_paragraph"/>
      </w:pPr>
      <w:r>
        <w:t xml:space="preserve">(a)</w:t>
      </w:r>
      <w:r>
        <w:t xml:space="preserve"> </w:t>
      </w:r>
      <w:r>
        <w:t xml:space="preserve">Registered nurses and licensed practical nurses who graduated from a Kentucky program of nursing that did not include the curriculum additions in 201 KAR 20:320, Section 6 and obtain licensure by examination or reinstatement after July 15, 2024;</w:t>
      </w:r>
    </w:p>
    <w:p>
      <w:pPr>
        <w:pStyle w:val="kar_paragraph"/>
      </w:pPr>
      <w:r>
        <w:t xml:space="preserve">(b)</w:t>
      </w:r>
      <w:r>
        <w:t xml:space="preserve"> </w:t>
      </w:r>
      <w:r>
        <w:t xml:space="preserve">Advanced practice registered nurses who hold a privilege to practice as a registered nurse and obtain initial licensure after July 15, 2024; and</w:t>
      </w:r>
    </w:p>
    <w:p>
      <w:pPr>
        <w:pStyle w:val="kar_paragraph"/>
      </w:pPr>
      <w:r>
        <w:t xml:space="preserve">(c)</w:t>
      </w:r>
      <w:r>
        <w:t xml:space="preserve"> </w:t>
      </w:r>
      <w:r>
        <w:t xml:space="preserve">Registered nurses and licensed practical nurses who have graduated from an out-of-state program of nursing and obtain licensure through examination, endorsement, or reinstatement after July 15, 2024.</w:t>
      </w:r>
    </w:p>
    <w:p>
      <w:pPr>
        <w:pStyle w:val="kar_subsection"/>
      </w:pPr>
      <w:r>
        <w:t xml:space="preserve">(9)</w:t>
      </w:r>
      <w:r>
        <w:t xml:space="preserve"> </w:t>
      </w:r>
      <w:r>
        <w:t xml:space="preserve">Medicinal cannabis practitioners and medicinal cannabis practitioner applicants shall earn the continuing education required by 201 KAR 20:067, Section 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9/2023;</w:t>
      </w:r>
    </w:p>
    <w:p>
      <w:pPr>
        <w:pStyle w:val="kar_paragraph"/>
      </w:pPr>
      <w:r>
        <w:t xml:space="preserve">(b)</w:t>
      </w:r>
      <w:r>
        <w:t xml:space="preserve"> </w:t>
      </w:r>
      <w:r>
        <w:t xml:space="preserve">"Nursing Continuing Education Employment Evaluation Form", 9/2023; and</w:t>
      </w:r>
    </w:p>
    <w:p>
      <w:pPr>
        <w:pStyle w:val="kar_paragraph"/>
      </w:pPr>
      <w:r>
        <w:t xml:space="preserve">(c)</w:t>
      </w:r>
      <w:r>
        <w:t xml:space="preserve"> </w:t>
      </w:r>
      <w:r>
        <w:t xml:space="preserve">"Preceptor Continuing Education Verification Form", 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f9bbed2d964530" /><Relationship Type="http://schemas.openxmlformats.org/officeDocument/2006/relationships/settings" Target="/word/settings.xml" Id="R063eb02f20cd4559" /></Relationships>
</file>