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2dd111aa804d32" /></Relationships>
</file>

<file path=word/document.xml><?xml version="1.0" encoding="utf-8"?>
<w:document xmlns:w="http://schemas.openxmlformats.org/wordprocessingml/2006/main">
  <w:body>
    <w:p>
      <w:pPr>
        <w:pStyle w:val="kar_citation"/>
      </w:pPr>
      <w:r>
        <w:t>201 KAR 18:196.</w:t>
      </w:r>
      <w:r>
        <w:t xml:space="preserve"> </w:t>
      </w:r>
      <w:r>
        <w:t xml:space="preserve">Continuing professional development for professional engineers</w:t>
      </w:r>
    </w:p>
    <w:p>
      <w:pPr>
        <w:pStyle w:val="kar_markup_metadata"/>
      </w:pPr>
      <w:r>
        <w:t xml:space="preserve">RELATES TO: </w:t>
      </w:r>
      <w:r>
        <w:t xml:space="preserve">KRS 322.180(3), 322.190, 322.290(16)</w:t>
      </w:r>
    </w:p>
    <w:p>
      <w:pPr>
        <w:pStyle w:val="kar_markup_metadata"/>
      </w:pPr>
      <w:r>
        <w:t xml:space="preserve">STATUTORY AUTHORITY: </w:t>
      </w:r>
      <w:r>
        <w:t xml:space="preserve">KRS 322.290(16)</w:t>
      </w:r>
    </w:p>
    <w:p>
      <w:pPr>
        <w:pStyle w:val="kar_markup_metadata"/>
      </w:pPr>
      <w:r>
        <w:t xml:space="preserve">NECESSITY, FUNCTION, AND CONFORMITY: </w:t>
      </w:r>
      <w:r>
        <w:t xml:space="preserve">KRS 322.290(16) requires the board to adopt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 (1) 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engineer and a professional land surveyor.</w:t>
      </w:r>
    </w:p>
    <w:p>
      <w:pPr>
        <w:pStyle w:val="kar_subsection"/>
      </w:pPr>
      <w:r>
        <w:t xml:space="preserve">(5)</w:t>
      </w:r>
      <w:r>
        <w:t xml:space="preserve"> </w:t>
      </w:r>
      <w:r>
        <w:t xml:space="preserve">"Licensee" means a person licensed as a professional engineer.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provided in Section 5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professional land surveyor requirements under 201 KAR 18:192 if the PDH units also meet the requirements of 201 KAR 18:192.</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upon successful completion of the following activities:</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specified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engineering;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described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earn credit only if substantially different from a course for which credit was claimed or granted in the current reporting period.</w:t>
      </w:r>
    </w:p>
    <w:p>
      <w:pPr>
        <w:pStyle w:val="kar_subsection"/>
      </w:pPr>
      <w:r>
        <w:t xml:space="preserve">(5)</w:t>
      </w:r>
      <w:r>
        <w:t xml:space="preserve"> </w:t>
      </w:r>
      <w:r>
        <w:t xml:space="preserve">PDH units shall be converted as follows:</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cannot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 subject to board review.</w:t>
      </w:r>
    </w:p>
    <w:p>
      <w:pPr>
        <w:pStyle w:val="kar_paragraph"/>
      </w:pPr>
      <w:r>
        <w:t xml:space="preserve">(e)</w:t>
      </w:r>
      <w:r>
        <w:t xml:space="preserve"> </w:t>
      </w:r>
      <w:r>
        <w:t xml:space="preserve">For teaching an activity described in paragraphs (a) through (d) of Section 3(2),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professional or technical societies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a licensee is initially licensed in the first calendar year of the reporting period, the number of PDH units required for that reporting period shall be fifteen (15)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 licensee who was licensed prior to January 1, 1972, and has kept the license in good standing since becoming licensed shall be exempted from continuing professional development requirements.</w:t>
      </w:r>
    </w:p>
    <w:p>
      <w:pPr>
        <w:pStyle w:val="kar_subsection"/>
      </w:pPr>
      <w:r>
        <w:t xml:space="preserve">(4)</w:t>
      </w:r>
      <w:r>
        <w:t xml:space="preserve"> </w:t>
      </w:r>
      <w:r>
        <w:t xml:space="preserve">An individual who has selected inactive or retired status shall be exempted from continuing professional development requirements.</w:t>
      </w:r>
    </w:p>
    <w:p>
      <w:pPr>
        <w:pStyle w:val="kar_subsection"/>
      </w:pPr>
      <w:r>
        <w:t xml:space="preserve">(5)</w:t>
      </w:r>
      <w:r>
        <w:t xml:space="preserve"> </w:t>
      </w:r>
      <w:r>
        <w:t xml:space="preserve">A licensee who is unable to satisfy the CPD requirement because of physical disability, illness, or other extenuating circumstance may be granted an extension for the reporting period in which the disability, illness, or extenuating circumstance occurs.</w:t>
      </w:r>
    </w:p>
    <w:p>
      <w:pPr>
        <w:pStyle w:val="kar_subsection"/>
      </w:pPr>
      <w:r>
        <w:t xml:space="preserve">(6)</w:t>
      </w:r>
      <w:r>
        <w:t xml:space="preserve"> </w:t>
      </w:r>
      <w:r>
        <w:t xml:space="preserve">The board may grant an extension of time to fulfill the CPD requirement for an extenuating circumstance.</w:t>
      </w:r>
    </w:p>
    <w:p>
      <w:pPr>
        <w:pStyle w:val="kar_subsection"/>
      </w:pPr>
      <w:r>
        <w:t xml:space="preserve">(7)</w:t>
      </w:r>
      <w:r>
        <w:t xml:space="preserve"> </w:t>
      </w:r>
      <w:r>
        <w:t xml:space="preserve">An exemption or extension request shall be made in writing, with supporting documentation, to the board during the calendar year in which the exemption or extension is requested, and the exemption or extension shall only be valid for that calendar year.</w:t>
      </w:r>
    </w:p>
    <w:p>
      <w:pPr>
        <w:pStyle w:val="kar_section"/>
      </w:pPr>
      <w:r>
        <w:t xml:space="preserve">Section 6.</w:t>
      </w:r>
      <w:r>
        <w:t xml:space="preserve"> </w:t>
      </w:r>
      <w:r>
        <w:t xml:space="preserve">Reinstatement. Before a license shall be reinstated by the board under 201 KAR 18:115, a former licensee shall earn the PDH units required for each reporting period the license was revoked, suspended, expired, or in inactive or retired status up to a maximum of sixty (60) PDH units.</w:t>
      </w:r>
    </w:p>
    <w:p>
      <w:pPr>
        <w:pStyle w:val="kar_section"/>
      </w:pPr>
      <w:r>
        <w:t xml:space="preserve">Section 7.</w:t>
      </w:r>
      <w:r>
        <w:t xml:space="preserve"> </w:t>
      </w:r>
      <w:r>
        <w:t xml:space="preserve">Reporting.A licensee shall certify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subjected to the audit process.</w:t>
      </w:r>
    </w:p>
    <w:p>
      <w:pPr>
        <w:pStyle w:val="kar_subsection"/>
      </w:pPr>
      <w:r>
        <w:t xml:space="preserve">(4)</w:t>
      </w:r>
      <w:r>
        <w:t xml:space="preserve"> </w:t>
      </w:r>
      <w:r>
        <w:t xml:space="preserve">A licensee who is the subject of an investigation pursuant to KRS 322.190 shall be subjected to the audit process.</w:t>
      </w:r>
    </w:p>
    <w:p>
      <w:pPr>
        <w:pStyle w:val="kar_subsection"/>
      </w:pPr>
      <w:r>
        <w:t xml:space="preserve">(5)</w:t>
      </w:r>
      <w:r>
        <w:t xml:space="preserve"> </w:t>
      </w:r>
      <w:r>
        <w:t xml:space="preserve">A licensee selected for audit shall provide the board with documentation as described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 subjecting the licensee to disciplinary action.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An audit resulting in a determination of noncompliance shall subject the licensee to an automatic audit for the next reporting period and each subsequent reporting period until an audit results in a determination of compliance.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c4c936bb5439e" /><Relationship Type="http://schemas.openxmlformats.org/officeDocument/2006/relationships/settings" Target="/word/settings.xml" Id="R2266e6f575a84199" /></Relationships>
</file>