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66549b4057402e" /></Relationships>
</file>

<file path=word/document.xml><?xml version="1.0" encoding="utf-8"?>
<w:document xmlns:w="http://schemas.openxmlformats.org/wordprocessingml/2006/main">
  <w:body>
    <w:p>
      <w:pPr>
        <w:pStyle w:val="kar_citation"/>
      </w:pPr>
      <w:r>
        <w:t>806 KAR 17:585.</w:t>
      </w:r>
      <w:r>
        <w:t xml:space="preserve"> </w:t>
      </w:r>
      <w:r>
        <w:t xml:space="preserve">Annual report mental health parity nonquantitative treatment limitation compliance.</w:t>
      </w:r>
    </w:p>
    <w:p>
      <w:pPr>
        <w:pStyle w:val="kar_markup_metadata"/>
      </w:pPr>
      <w:r>
        <w:t xml:space="preserve">RELATES TO: </w:t>
      </w:r>
      <w:r>
        <w:t xml:space="preserve">KRS 304.1-050(1), 304.17A-660, 304.17A-669, 45 C.F.R. 146.136, 45 C.F.R. 147.160, 42 U.S.C. 300gg-26</w:t>
      </w:r>
    </w:p>
    <w:p>
      <w:pPr>
        <w:pStyle w:val="kar_markup_metadata"/>
      </w:pPr>
      <w:r>
        <w:t xml:space="preserve">STATUTORY AUTHORITY: </w:t>
      </w:r>
      <w:r>
        <w:t xml:space="preserve">KRS 304.2-110, 304.17A-661</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304.17A-661 requires an insurer that issues or renews a health benefit plan to annually report to the commissioner the self-compliance with the federal Mental Health Parity and Addiction Equity Act, 42 U.S.C. 300gg-26, related to nonquantitative treatment limitations between medical and surgical benefits and mental health substance use disorder benefits, to demonstrate that these treatment limitations are applied comparably and requires the commissioner to establish a form for this purpose. This administrative regulation establishes the format and submission time frame for the data reporting requirements in KRS 304.17A-661.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"Insurer" is defined by KRS 304.17A-005(29).</w:t>
      </w:r>
    </w:p>
    <w:p>
      <w:pPr>
        <w:pStyle w:val="kar_subsection"/>
      </w:pPr>
      <w:r>
        <w:t xml:space="preserve">(3)</w:t>
      </w:r>
      <w:r>
        <w:t xml:space="preserve"> </w:t>
      </w:r>
      <w:r>
        <w:t xml:space="preserve">"Nonquantitative treatment limitations" as defined by KRS 304.17A-660(3).</w:t>
      </w:r>
    </w:p>
    <w:p>
      <w:pPr>
        <w:pStyle w:val="kar_section"/>
      </w:pPr>
      <w:r>
        <w:t xml:space="preserve">Section 2.</w:t>
      </w:r>
      <w:r>
        <w:t xml:space="preserve"> </w:t>
      </w:r>
      <w:r>
        <w:t xml:space="preserve">Data Reporting Requirements.</w:t>
      </w:r>
    </w:p>
    <w:p>
      <w:pPr>
        <w:pStyle w:val="kar_subsection"/>
      </w:pPr>
      <w:r>
        <w:t xml:space="preserve">(1)</w:t>
      </w:r>
      <w:r>
        <w:t xml:space="preserve"> </w:t>
      </w:r>
      <w:r>
        <w:t xml:space="preserve">An insurer that issues or renews a health benefit plan and is authorized to write health insurance in this state shall submit an annual report containing the information described in KRS 304.17A-661 on the Nonquantitative Treatment Limitation (NQTL) Reporting Submission Form to the commissioner by April 1st of each year for the previous plan year.</w:t>
      </w:r>
    </w:p>
    <w:p>
      <w:pPr>
        <w:pStyle w:val="kar_subsection"/>
      </w:pPr>
      <w:r>
        <w:t xml:space="preserve">(2)</w:t>
      </w:r>
      <w:r>
        <w:t xml:space="preserve"> </w:t>
      </w:r>
      <w:r>
        <w:t xml:space="preserve">The report shall be submitted electronically through:</w:t>
      </w:r>
    </w:p>
    <w:p>
      <w:pPr>
        <w:pStyle w:val="kar_paragraph"/>
      </w:pPr>
      <w:r>
        <w:t xml:space="preserve">(a)</w:t>
      </w:r>
      <w:r>
        <w:t xml:space="preserve"> </w:t>
      </w:r>
      <w:r>
        <w:t xml:space="preserve">Email; or</w:t>
      </w:r>
    </w:p>
    <w:p>
      <w:pPr>
        <w:pStyle w:val="kar_paragraph"/>
      </w:pPr>
      <w:r>
        <w:t xml:space="preserve">(b)</w:t>
      </w:r>
      <w:r>
        <w:t xml:space="preserve"> </w:t>
      </w:r>
      <w:r>
        <w:t xml:space="preserve">A portal designated for this purpose.</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"Nonquantitative Treatment Limitation (NQTL) Reporting Submission Form", 8/2022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1518; Am. 2126; eff. 3-20-2014; TAm 3-11-2016; 44 Ky.R. 55; eff. 7-17-2017; TAm eff. 11-30-2017; TAm eff. 9-28-2023.)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81ac7b701e43e1" /><Relationship Type="http://schemas.openxmlformats.org/officeDocument/2006/relationships/settings" Target="/word/settings.xml" Id="R2b00fa67aba449bc" /></Relationships>
</file>