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757ec75a7d4d36"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August 1, 2024</w:t>
      </w:r>
    </w:p>
    <w:p>
      <w:pPr>
        <w:pStyle w:val="kar_citation"/>
      </w:pPr>
      <w:r>
        <w:t>806 KAR 17:585.</w:t>
      </w:r>
      <w:r>
        <w:t xml:space="preserve"> </w:t>
      </w:r>
      <w:r>
        <w:t xml:space="preserve">Annual report mental health parity nonquantitative treatment limitation compliance.</w:t>
      </w:r>
    </w:p>
    <w:p>
      <w:pPr>
        <w:pStyle w:val="kar_markup_metadata"/>
      </w:pPr>
      <w:r>
        <w:t xml:space="preserve">RELATES TO: </w:t>
      </w:r>
      <w:r>
        <w:t xml:space="preserve">KRS 304.1-050(1), 304.17A-660, 304.17A-669, 45 C.F.R. 146.136, 45 C.F.R. 147.160, 42 U.S.C. 300gg-26</w:t>
      </w:r>
    </w:p>
    <w:p>
      <w:pPr>
        <w:pStyle w:val="kar_markup_metadata"/>
      </w:pPr>
      <w:r>
        <w:t xml:space="preserve">STATUTORY AUTHORITY: </w:t>
      </w:r>
      <w:r>
        <w:t xml:space="preserve">KRS 304.2-110, 304.17A-661</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304.17A-661 requires an insurer that issues or renews a health benefit plan to annually report to the commissioner the self-compliance with the federal Mental Health Parity and Addiction Equity Act, 42 U.S.C. 300gg-26, related to nonquantitative treatment limitations between medical and surgical benefits and mental health substance use disorder benefits, to demonstrate that these treatment limitations are applied comparably and requires the commissioner to establish a form for this purpose. This administrative regulation establishes the format and submission time frame for the data reporting requirements in KRS 304.17A-661.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"Insurer" is defined by KRS 304.17A-005(29).</w:t>
      </w:r>
    </w:p>
    <w:p>
      <w:pPr>
        <w:pStyle w:val="kar_subsection"/>
      </w:pPr>
      <w:r>
        <w:t xml:space="preserve">(3)</w:t>
      </w:r>
      <w:r>
        <w:t xml:space="preserve"> </w:t>
      </w:r>
      <w:r>
        <w:t xml:space="preserve">"Nonquantitative treatment limitations" as defined by KRS 304.17A-660(3).</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An insurer that issues or renews a health benefit plan and is authorized to write health insurance in this state shall submit an annual report containing the information described in KRS 304.17A-661 on the Nonquantitative Treatment Limitation (NQTL) Reporting Submission Form to the commissioner by April 1st of each year for the previous plan year.</w:t>
      </w:r>
    </w:p>
    <w:p>
      <w:pPr>
        <w:pStyle w:val="kar_subsection"/>
      </w:pPr>
      <w:r>
        <w:t xml:space="preserve">(2)</w:t>
      </w:r>
      <w:r>
        <w:t xml:space="preserve"> </w:t>
      </w:r>
      <w:r>
        <w:t xml:space="preserve">The report shall be submitted electronically through:</w:t>
      </w:r>
    </w:p>
    <w:p>
      <w:pPr>
        <w:pStyle w:val="kar_paragraph"/>
      </w:pPr>
      <w:r>
        <w:t xml:space="preserve">(a)</w:t>
      </w:r>
      <w:r>
        <w:t xml:space="preserve"> </w:t>
      </w:r>
      <w:r>
        <w:t xml:space="preserve">Email; or</w:t>
      </w:r>
    </w:p>
    <w:p>
      <w:pPr>
        <w:pStyle w:val="kar_paragraph"/>
      </w:pPr>
      <w:r>
        <w:t xml:space="preserve">(b)</w:t>
      </w:r>
      <w:r>
        <w:t xml:space="preserve"> </w:t>
      </w:r>
      <w:r>
        <w:t xml:space="preserve">A portal designated for this purpose.</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"Nonquantitative Treatment Limitation (NQTL) Reporting Submission Form", </w:t>
      </w:r>
      <w:r>
        <w:rPr>
          <w:u w:val="single"/>
        </w:rPr>
        <w:t xml:space="preserve">8/2022</w:t>
      </w:r>
      <w:r>
        <w:t>[</w:t>
      </w:r>
      <w:r>
        <w:rPr>
          <w:strike w:val="true"/>
        </w:rPr>
        <w:t xml:space="preserve">5/2022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p>
      <w:pPr>
        <w:pStyle w:val="kar_normal"/>
      </w:pPr>
      <w:r>
        <w:t xml:space="preserve"/>
      </w:r>
    </w:p>
    <w:p>
      <w:pPr>
        <w:pStyle w:val="kar_filed"/>
      </w:pPr>
      <w:r>
        <w:t xml:space="preserve">FILED WITH LRC: August 1,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fdf75e592b4f0f" /><Relationship Type="http://schemas.openxmlformats.org/officeDocument/2006/relationships/settings" Target="/word/settings.xml" Id="R4613a382d0ef4be8" /></Relationships>
</file>