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1010d02f0a433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1:470.</w:t>
      </w:r>
      <w:r>
        <w:t xml:space="preserve"> </w:t>
      </w:r>
      <w:r>
        <w:t xml:space="preserve">Central registry.</w:t>
      </w:r>
    </w:p>
    <w:p>
      <w:pPr>
        <w:pStyle w:val="kar_markup_metadata"/>
      </w:pPr>
      <w:r>
        <w:t xml:space="preserve">RELATES TO: </w:t>
      </w:r>
      <w:r>
        <w:t xml:space="preserve">KRS 17.165(6), 61.876, 160.151, 160.380, 194A.380-194A.383, 199.466, 199.896(19), 199.8982(1)(a), 211.684(1)(a), 403.352, 600.020(1), (40), </w:t>
      </w:r>
      <w:r>
        <w:t>[</w:t>
      </w:r>
      <w:r>
        <w:rPr>
          <w:strike w:val="true"/>
        </w:rPr>
        <w:t xml:space="preserve">(61), </w:t>
      </w:r>
      <w:r>
        <w:t>]</w:t>
      </w:r>
      <w:r>
        <w:t xml:space="preserve">(62),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w:t>
      </w:r>
      <w:r>
        <w:rPr>
          <w:u w:val="single"/>
        </w:rPr>
        <w:t xml:space="preserve">(62)</w:t>
      </w:r>
      <w:r>
        <w:t>[</w:t>
      </w:r>
      <w:r>
        <w:rPr>
          <w:strike w:val="true"/>
        </w:rPr>
        <w:t xml:space="preserve">(61)</w:t>
      </w:r>
      <w:r>
        <w:t>]</w:t>
      </w:r>
      <w:r>
        <w:t xml:space="preserve">.</w:t>
      </w:r>
    </w:p>
    <w:p>
      <w:pPr>
        <w:pStyle w:val="kar_subsection"/>
      </w:pPr>
      <w:r>
        <w:t xml:space="preserve">(6)</w:t>
      </w:r>
      <w:r>
        <w:t xml:space="preserve"> </w:t>
      </w:r>
      <w:r>
        <w:t xml:space="preserve">"Sexual exploitation" is defined by KRS 600.020</w:t>
      </w:r>
      <w:r>
        <w:rPr>
          <w:u w:val="single"/>
        </w:rPr>
        <w:t xml:space="preserve">(63)</w:t>
      </w:r>
      <w:r>
        <w:t>[</w:t>
      </w:r>
      <w:r>
        <w:rPr>
          <w:strike w:val="true"/>
        </w:rPr>
        <w:t xml:space="preserve">(62)</w:t>
      </w:r>
      <w:r>
        <w:t>]</w:t>
      </w:r>
      <w:r>
        <w:t xml:space="preserve">.</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or authorized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w:t>
      </w:r>
      <w:r>
        <w:rPr>
          <w:u w:val="single"/>
        </w:rPr>
        <w:t xml:space="preserve">considered for hire, </w:t>
      </w:r>
      <w:r>
        <w:t xml:space="preserve">hired by, or volunteers with</w:t>
      </w:r>
      <w:r>
        <w:t>[</w:t>
      </w:r>
      <w:r>
        <w:rPr>
          <w:strike w:val="true"/>
        </w:rPr>
        <w:t xml:space="preserve">,</w:t>
      </w:r>
      <w:r>
        <w:t>]</w:t>
      </w:r>
      <w:r>
        <w:t xml:space="preserve"> an entity required by law to obtain information contained in the central registry; or</w:t>
      </w:r>
    </w:p>
    <w:p>
      <w:pPr>
        <w:pStyle w:val="kar_subparagraph"/>
      </w:pPr>
      <w:r>
        <w:t xml:space="preserve">3.</w:t>
      </w:r>
      <w:r>
        <w:t xml:space="preserve"> </w:t>
      </w:r>
      <w:r>
        <w:t xml:space="preserve">Is </w:t>
      </w:r>
      <w:r>
        <w:rPr>
          <w:u w:val="single"/>
        </w:rPr>
        <w:t xml:space="preserve">considered for hire, </w:t>
      </w:r>
      <w:r>
        <w:t xml:space="preserve">hired by, or volunteers with</w:t>
      </w:r>
      <w:r>
        <w:t>[</w:t>
      </w:r>
      <w:r>
        <w:rPr>
          <w:strike w:val="true"/>
        </w:rPr>
        <w:t xml:space="preserve">,</w:t>
      </w:r>
      <w:r>
        <w:t>]</w:t>
      </w:r>
      <w:r>
        <w:t xml:space="preserve"> an entity that may require a central registry check as a condition for working with children on a regular basis.</w:t>
      </w:r>
    </w:p>
    <w:p>
      <w:pPr>
        <w:pStyle w:val="kar_subsection"/>
      </w:pPr>
      <w:r>
        <w:t xml:space="preserve">(3)</w:t>
      </w:r>
      <w:r>
        <w:t xml:space="preserve"> </w:t>
      </w:r>
      <w:r>
        <w:t xml:space="preserve">An individual who is not required or authorized by law to obtain information contained in the central registry shall not receive a completed check and may instead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parent or guardian shall be required to consent to the central registry check of an individual who is under the age of eighteen (18).</w:t>
      </w:r>
    </w:p>
    <w:p>
      <w:pPr>
        <w:pStyle w:val="kar_subsection"/>
      </w:pPr>
      <w:r>
        <w:t xml:space="preserve">(6)</w:t>
      </w:r>
      <w:r>
        <w:t xml:space="preserve"> </w:t>
      </w:r>
      <w:r>
        <w:t xml:space="preserve">A state requesting a child abuse or neglect check from the cabinet as required by 42 U.S.C. 671(a)(20) shall follow the procedures described in 922 KAR 1:490, Section 5.</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w:t>
      </w:r>
      <w:r>
        <w:rPr>
          <w:u w:val="single"/>
        </w:rPr>
        <w:t xml:space="preserve">8/2024</w:t>
      </w:r>
      <w:r>
        <w:t>[</w:t>
      </w:r>
      <w:r>
        <w:rPr>
          <w:strike w:val="true"/>
        </w:rPr>
        <w:t xml:space="preserve">4/2022</w:t>
      </w:r>
      <w:r>
        <w:t>]</w:t>
      </w:r>
      <w:r>
        <w:t xml:space="preserve">; and</w:t>
      </w:r>
    </w:p>
    <w:p>
      <w:pPr>
        <w:pStyle w:val="kar_paragraph"/>
      </w:pPr>
      <w:r>
        <w:t xml:space="preserve">(b)</w:t>
      </w:r>
      <w:r>
        <w:t xml:space="preserve"> </w:t>
      </w:r>
      <w:r>
        <w:t xml:space="preserve">"DCC-374, Child Care Central Registry Check," 4/2022.</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August 2, 2024</w:t>
      </w:r>
    </w:p>
    <w:p>
      <w:pPr>
        <w:pStyle w:val="kar_filed"/>
      </w:pPr>
      <w:r>
        <w:t xml:space="preserve">FILED WITH LRC: August 14, 2024 at 2:10 p.m.</w:t>
      </w:r>
    </w:p>
    <w:p>
      <w:pPr>
        <w:pStyle w:val="kar_normal"/>
      </w:pPr>
      <w:r>
        <w:t xml:space="preserve"/>
      </w:r>
    </w:p>
    <w:p>
      <w:pPr>
        <w:pStyle w:val="kar_comment_period"/>
      </w:pPr>
      <w:r>
        <w:t xml:space="preserve">PUBLIC HEARING AND PUBLIC COMMENT PERIOD: A public hearing on this administrative regulation shall, if requested, be held on October 21,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14,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Amy Smith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by which the cabinet shall conduct a child abuse and neglect check using information in the central registry.</w:t>
      </w:r>
    </w:p>
    <w:p>
      <w:pPr>
        <w:pStyle w:val="kar_normal"/>
        <w:ind w:left="576"/>
      </w:pPr>
      <w:r>
        <w:t xml:space="preserve">(b) The necessity of this administrative regulation:</w:t>
      </w:r>
    </w:p>
    <w:p>
      <w:pPr>
        <w:pStyle w:val="kar_normal"/>
        <w:ind w:left="720"/>
      </w:pPr>
      <w:r>
        <w:t xml:space="preserve">This administrative regulation is necessary to establish cabinet procedures for child abuse and neglect checks of the central registry.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cabinet procedures for conducting child abuse and neglect checks of the central registry, as required by KRS 620.051(2).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effective administration of the statutes through its establishment of cabinet procedures for child abuse and neglect checks of the central registry.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checking the central registry for prospective employees and updates the DPP-156 registry check request form as a result of the passage of Senate Bill 145 (2024 Regular Session of the General Assembly), which included that health facilities and health care providers enrolled in Medicaid may request a check of the child abuse or neglect registry for a prospective or current employee to ensure that the employee has not been the subject of a child abuse or neglect substantiation.</w:t>
      </w:r>
    </w:p>
    <w:p>
      <w:pPr>
        <w:pStyle w:val="kar_normal"/>
        <w:ind w:left="576"/>
      </w:pPr>
      <w:r>
        <w:t xml:space="preserve">(b) The necessity of the amendment to this administrative regulation:</w:t>
      </w:r>
    </w:p>
    <w:p>
      <w:pPr>
        <w:pStyle w:val="kar_normal"/>
        <w:ind w:left="720"/>
      </w:pPr>
      <w:r>
        <w:t xml:space="preserve">This amendment is needed for compliance with Senate Bill 145 (2024 Regular Session), codified as KRS 216.2955.</w:t>
      </w:r>
    </w:p>
    <w:p>
      <w:pPr>
        <w:pStyle w:val="kar_normal"/>
        <w:ind w:left="576"/>
      </w:pPr>
      <w:r>
        <w:t xml:space="preserve">(c) How the amendment conforms to the content of the authorizing statutes:</w:t>
      </w:r>
    </w:p>
    <w:p>
      <w:pPr>
        <w:pStyle w:val="kar_normal"/>
        <w:ind w:left="720"/>
      </w:pPr>
      <w:r>
        <w:t xml:space="preserve">KRS 620.051(2) requires the cabinet to promulgate administrative regulations to establish the central registry and the process for a check of the cabinet's child abuse and neglect records. This amendment further outlines this process consistent with passed legislation.</w:t>
      </w:r>
    </w:p>
    <w:p>
      <w:pPr>
        <w:pStyle w:val="kar_normal"/>
        <w:ind w:left="576"/>
      </w:pPr>
      <w:r>
        <w:t xml:space="preserve">(d) How the amendment will assist in the effective administration of the statutes:</w:t>
      </w:r>
    </w:p>
    <w:p>
      <w:pPr>
        <w:pStyle w:val="kar_normal"/>
        <w:ind w:left="720"/>
      </w:pPr>
      <w:r>
        <w:t xml:space="preserve">This amendment clarifies the process of requesting a check of the central registry and amends the incorporated form consistent with passed legislation.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9,097 health facilities licensed or surveyed by the Office of the Inspector General and approximately 46,000 health care providers enrolled in Medicaid. These facilities will have the ability to submit a prospective or current employee to a child abuse or neglect central registry background check.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It is not mandatory, but health facilities and health care providers enrolled in Medicaid will be able to submit a current or prospective employee to a check of the child abuse or neglect registry to ensure that the employee has not been the subject of a child abuse or neglect substantiation.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Each check of the central registry costs $10.</w:t>
      </w:r>
    </w:p>
    <w:p>
      <w:pPr>
        <w:pStyle w:val="kar_normal"/>
        <w:ind w:left="576"/>
      </w:pPr>
      <w:r>
        <w:t xml:space="preserve">(c) As a result of compliance, what benefits will accrue to the entities identified in question (3):</w:t>
      </w:r>
    </w:p>
    <w:p>
      <w:pPr>
        <w:pStyle w:val="kar_normal"/>
        <w:ind w:left="720"/>
      </w:pPr>
      <w:r>
        <w:t xml:space="preserve">This is optional, but these facilities will have more assurance that their prospective or current employee has not had a child abuse or neglect substantiation that would result in them being listed on the registry.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w:t>
      </w:r>
    </w:p>
    <w:p>
      <w:pPr>
        <w:pStyle w:val="kar_normal"/>
        <w:ind w:left="576"/>
      </w:pPr>
      <w:r>
        <w:t xml:space="preserve">(b) On a continuing basis:</w:t>
      </w:r>
    </w:p>
    <w:p>
      <w:pPr>
        <w:pStyle w:val="kar_normal"/>
        <w:ind w:left="720"/>
      </w:pPr>
      <w:r>
        <w:t xml:space="preserve">There is no cost associated.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includes a fee established by the General Assembly and codified in KRS 620.051(1). The fee is unchanged through this amendment. </w:t>
      </w:r>
    </w:p>
    <w:p>
      <w:pPr>
        <w:pStyle w:val="kar_normal"/>
        <w:ind w:left="288"/>
      </w:pPr>
      <w:r>
        <w:t xml:space="preserve">(9) TIERING: Is tiering applied?</w:t>
      </w:r>
    </w:p>
    <w:p>
      <w:pPr>
        <w:pStyle w:val="kar_normal"/>
        <w:ind w:left="432"/>
      </w:pPr>
      <w:r>
        <w:t xml:space="preserve">Tiering is not applied, because this administrative regulation will be implemented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671(a)(20), 5106a(b), 9858f </w:t>
      </w:r>
    </w:p>
    <w:p>
      <w:pPr>
        <w:pStyle w:val="kar_normal"/>
        <w:ind w:left="288"/>
      </w:pPr>
      <w:r>
        <w:t xml:space="preserve">(2) State compliance standards.</w:t>
      </w:r>
    </w:p>
    <w:p>
      <w:pPr>
        <w:pStyle w:val="kar_normal"/>
        <w:ind w:left="432"/>
      </w:pPr>
      <w:r>
        <w:t xml:space="preserve">KRS 194A.050(1), 605.130(7), 605.150(1), 620.051(2) </w:t>
      </w:r>
    </w:p>
    <w:p>
      <w:pPr>
        <w:pStyle w:val="kar_normal"/>
        <w:ind w:left="288"/>
      </w:pPr>
      <w:r>
        <w:t xml:space="preserve">(3) Minimum or uniform standards contained in the federal mandate.</w:t>
      </w:r>
    </w:p>
    <w:p>
      <w:pPr>
        <w:pStyle w:val="kar_normal"/>
        <w:ind w:left="432"/>
      </w:pPr>
      <w:r>
        <w:t xml:space="preserve">42 U.S.C. 671(a)(20), 5106a(b), 9858f </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requirements, or additional or different responsibilities or requirements, than those required by the federal mandate. </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requirements, or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605.130(7), 605.150(1), 620.051(2), 42 U.S.C. 671(a)(20), 5106a(b), 9858f. </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Community Based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amendment does not alter expenditures, revenues, or cost savings. </w:t>
      </w:r>
    </w:p>
    <w:p>
      <w:pPr>
        <w:pStyle w:val="kar_normal"/>
        <w:ind w:left="288"/>
      </w:pPr>
      <w:r>
        <w:t xml:space="preserve">(3) Identify affected local entities (for example: cities, counties, fire departments, school districts):</w:t>
      </w:r>
    </w:p>
    <w:p>
      <w:pPr>
        <w:pStyle w:val="kar_normal"/>
        <w:ind w:left="432"/>
      </w:pPr>
      <w:r>
        <w:t xml:space="preserve">No affected local entities have been identified. </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 is expected. </w:t>
      </w:r>
    </w:p>
    <w:p>
      <w:pPr>
        <w:pStyle w:val="kar_normal"/>
        <w:ind w:left="288"/>
      </w:pPr>
      <w:r>
        <w:t xml:space="preserve">(4) Identify additional regulated entities not listed in questions (2) or (3):</w:t>
      </w:r>
    </w:p>
    <w:p>
      <w:pPr>
        <w:pStyle w:val="kar_normal"/>
        <w:ind w:left="432"/>
      </w:pPr>
      <w:r>
        <w:t xml:space="preserve">Health facilities as defined in KRS 216B.015 and health care providers enrolled in Medicaid will be able to request checks of the central registry once this amendment is effective, but this is optional.</w:t>
      </w:r>
    </w:p>
    <w:p>
      <w:pPr>
        <w:pStyle w:val="kar_normal"/>
        <w:ind w:left="576"/>
      </w:pPr>
      <w:r>
        <w:t xml:space="preserve">(a) Estimate the following for the first year:</w:t>
      </w:r>
    </w:p>
    <w:p>
      <w:pPr>
        <w:pStyle w:val="kar_normal"/>
        <w:ind w:left="864"/>
      </w:pPr>
      <w:r>
        <w:t xml:space="preserve">Expenditures:</w:t>
      </w:r>
      <w:r>
        <w:t xml:space="preserve"> There will only be expenditures if the facilities choose to request central registry checks of prospective or current employees.</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 is expected. </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amendment does not have a fiscal impact. There is only a $10 charge per check if a check of the registry is requested and this is not mandatory.</w:t>
      </w:r>
    </w:p>
    <w:p>
      <w:pPr>
        <w:pStyle w:val="kar_normal"/>
        <w:ind w:left="576"/>
      </w:pPr>
      <w:r>
        <w:t xml:space="preserve">(b) Methodology and resources used to determine the fiscal impact:</w:t>
      </w:r>
    </w:p>
    <w:p>
      <w:pPr>
        <w:pStyle w:val="kar_normal"/>
        <w:ind w:left="720"/>
      </w:pPr>
      <w:r>
        <w:t xml:space="preserve">This amendment implements SB 145 (2024 Regular Session), which authorized but did not require central registry checks. </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this administrative regulation does not have a negative or adverse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authorizes other facilities to request a check of the central registry for prospective or current employees, but it is not mandatory.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6139bd49b4739" /><Relationship Type="http://schemas.openxmlformats.org/officeDocument/2006/relationships/settings" Target="/word/settings.xml" Id="R2485adb4ae2e43a3" /></Relationships>
</file>