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0a4fb96ced4ab7" /></Relationships>
</file>

<file path=word/document.xml><?xml version="1.0" encoding="utf-8"?>
<w:document xmlns:w="http://schemas.openxmlformats.org/wordprocessingml/2006/main">
  <w:body>
    <w:p>
      <w:pPr>
        <w:pStyle w:val="kar_citation"/>
      </w:pPr>
      <w:r>
        <w:t>200 KAR 14:091.</w:t>
      </w:r>
      <w:r>
        <w:t xml:space="preserve"> </w:t>
      </w:r>
      <w:r>
        <w:t xml:space="preserve">Guidelines for money market instruments.</w:t>
      </w:r>
    </w:p>
    <w:p>
      <w:pPr>
        <w:pStyle w:val="kar_markup_metadata"/>
      </w:pPr>
      <w:r>
        <w:t xml:space="preserve">RELATES TO: </w:t>
      </w:r>
      <w:r>
        <w:t xml:space="preserve">KRS 42.014(1), 42.500, 42.505-42.545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 requires the State Investment Commission to prescribe standards for the operation of the state's investment program. This administrative regulation establishes the standards which shall apply to the use of certain money market instruments which include bankers' acceptances, commercial paper, and negotiable collateralized and uncollateralized certificates of deposit.</w:t>
      </w:r>
    </w:p>
    <w:p>
      <w:pPr>
        <w:pStyle w:val="kar_section"/>
      </w:pPr>
      <w:r>
        <w:t xml:space="preserve">Section 1.</w:t>
      </w:r>
      <w:r>
        <w:t xml:space="preserve"> </w:t>
      </w:r>
      <w:r>
        <w:t xml:space="preserve">Definitions.</w:t>
      </w:r>
    </w:p>
    <w:p>
      <w:pPr>
        <w:pStyle w:val="kar_subsection"/>
      </w:pPr>
      <w:r>
        <w:t xml:space="preserve">(1)</w:t>
      </w:r>
      <w:r>
        <w:t xml:space="preserve"> </w:t>
      </w:r>
      <w:r>
        <w:t xml:space="preserve">"Bankers' acceptance" means a short-term negotiable discount note drawn on and accepted by a bank or trust company which is obligated to pay the face value amount at maturity.</w:t>
      </w:r>
    </w:p>
    <w:p>
      <w:pPr>
        <w:pStyle w:val="kar_subsection"/>
      </w:pPr>
      <w:r>
        <w:t xml:space="preserve">(2)</w:t>
      </w:r>
      <w:r>
        <w:t xml:space="preserve"> </w:t>
      </w:r>
      <w:r>
        <w:t xml:space="preserve">"Commercial paper" means an unsecured promissory obligation having a maturity of less than 270 days.</w:t>
      </w:r>
    </w:p>
    <w:p>
      <w:pPr>
        <w:pStyle w:val="kar_subsection"/>
      </w:pPr>
      <w:r>
        <w:t xml:space="preserve">(3)</w:t>
      </w:r>
      <w:r>
        <w:t xml:space="preserve"> </w:t>
      </w:r>
      <w:r>
        <w:t xml:space="preserve">"Commission" means the State Investment Commission.</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ection"/>
      </w:pPr>
      <w:r>
        <w:t xml:space="preserve">Section 2.</w:t>
      </w:r>
      <w:r>
        <w:t xml:space="preserve"> </w:t>
      </w:r>
      <w:r>
        <w:t xml:space="preserve">Bankers' Acceptances.</w:t>
      </w:r>
    </w:p>
    <w:p>
      <w:pPr>
        <w:pStyle w:val="kar_subsection"/>
      </w:pPr>
      <w:r>
        <w:t xml:space="preserve">(1)</w:t>
      </w:r>
      <w:r>
        <w:t xml:space="preserve"> </w:t>
      </w:r>
      <w:r>
        <w:t xml:space="preserve">The office may purchase bankers' acceptances if rated in the highest short-term rating category by commission approved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 xml:space="preserve">Investment in bankers' acceptances shall be made for a period of no longer than 180 days per investment.</w:t>
      </w:r>
    </w:p>
    <w:p>
      <w:pPr>
        <w:pStyle w:val="kar_section"/>
      </w:pPr>
      <w:r>
        <w:t xml:space="preserve">Section 3.</w:t>
      </w:r>
      <w:r>
        <w:t xml:space="preserve"> </w:t>
      </w:r>
      <w:r>
        <w:t xml:space="preserve">Commercial Paper.</w:t>
      </w:r>
    </w:p>
    <w:p>
      <w:pPr>
        <w:pStyle w:val="kar_subsection"/>
      </w:pPr>
      <w:r>
        <w:t xml:space="preserve">(1)</w:t>
      </w:r>
      <w:r>
        <w:t xml:space="preserve"> </w:t>
      </w:r>
      <w:r>
        <w:t xml:space="preserve">The office may purchase commercial paper rated in the highest short-term rating category by commission approved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 xml:space="preserve">Investments in commercial paper shall be made for a period of no longer than 270 days per investment.</w:t>
      </w:r>
    </w:p>
    <w:p>
      <w:pPr>
        <w:pStyle w:val="kar_section"/>
      </w:pPr>
      <w:r>
        <w:t xml:space="preserve">Section 4.</w:t>
      </w:r>
      <w:r>
        <w:t xml:space="preserve"> </w:t>
      </w:r>
      <w:r>
        <w:t xml:space="preserve">Negotiable Certificates of Deposit, Collateralized and Uncollateralized.</w:t>
      </w:r>
    </w:p>
    <w:p>
      <w:pPr>
        <w:pStyle w:val="kar_subsection"/>
      </w:pPr>
      <w:r>
        <w:t xml:space="preserve">(1)</w:t>
      </w:r>
      <w:r>
        <w:t xml:space="preserve"> </w:t>
      </w:r>
      <w:r>
        <w:t xml:space="preserve">The office may purchase collateralized certificates of deposit if issued by banks rated in one (1) of the three (3) highest categories by commission approved NRSRO.</w:t>
      </w:r>
    </w:p>
    <w:p>
      <w:pPr>
        <w:pStyle w:val="kar_subsection"/>
      </w:pPr>
      <w:r>
        <w:t xml:space="preserve">(2)</w:t>
      </w:r>
      <w:r>
        <w:t xml:space="preserve"> </w:t>
      </w:r>
      <w:r>
        <w:t xml:space="preserve">The office may purchase uncollateralized negotiable certificates of deposit if issued by banks rated in one (1) of the two (2) highest categories by commission approved NRSRO.</w:t>
      </w:r>
    </w:p>
    <w:p>
      <w:pPr>
        <w:pStyle w:val="kar_subsection"/>
      </w:pPr>
      <w:r>
        <w:t xml:space="preserve">(3)</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(4)</w:t>
      </w:r>
      <w:r>
        <w:t xml:space="preserve"> </w:t>
      </w:r>
      <w:r>
        <w:t xml:space="preserve">Investment in negotiable certificates of deposits shall be made for a period of no longer than 270 days per investment unless specifically authorized by KRS 41.610.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Limits of Money Market Instruments Per Pool. The aggregate investment in bankers' acceptances, commercial paper, and negotiable certificates of deposit shall not exceed thirty-five (35) percent of pool assets or $25,000,000 per issuer.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fc92bdc1c420a" /><Relationship Type="http://schemas.openxmlformats.org/officeDocument/2006/relationships/settings" Target="/word/settings.xml" Id="R1b626bda3d724ab5" /></Relationships>
</file>