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da6ced55d246f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Occupational Therapy</w:t>
      </w:r>
    </w:p>
    <w:p>
      <w:pPr>
        <w:pStyle w:val="kar_markup_header"/>
        <w:ind w:firstLine="0"/>
      </w:pPr>
      <w:r>
        <w:t>(Amended at ARRS Committee)</w:t>
      </w:r>
    </w:p>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March 20,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March 20, 2024, and as revised.</w:t>
      </w:r>
    </w:p>
    <w:p>
      <w:pPr>
        <w:pStyle w:val="kar_paragraph"/>
      </w:pPr>
      <w:r>
        <w:t xml:space="preserve">(a)</w:t>
      </w:r>
      <w:r>
        <w:t xml:space="preserve"> </w:t>
      </w:r>
      <w:r>
        <w:t xml:space="preserve">Chapter </w:t>
      </w:r>
      <w:r>
        <w:rPr>
          <w:b/>
          <w:i/>
          <w:u w:val="single"/>
        </w:rPr>
        <w:t xml:space="preserve">1.</w:t>
      </w:r>
      <w:r>
        <w:t>[</w:t>
      </w:r>
      <w:r>
        <w:rPr>
          <w:b/>
          <w:i/>
          <w:strike w:val="true"/>
        </w:rPr>
        <w:t xml:space="preserve">2.</w:t>
      </w:r>
      <w:r>
        <w:t>]</w:t>
      </w:r>
      <w:r>
        <w:t xml:space="preserve"> Rule on Definitions, adopted March 20, 2024; and</w:t>
      </w:r>
    </w:p>
    <w:p>
      <w:pPr>
        <w:pStyle w:val="kar_paragraph"/>
      </w:pPr>
      <w:r>
        <w:t xml:space="preserve">(b)</w:t>
      </w:r>
      <w:r>
        <w:t xml:space="preserve"> </w:t>
      </w:r>
      <w:r>
        <w:t xml:space="preserve">Chapter </w:t>
      </w:r>
      <w:r>
        <w:rPr>
          <w:b/>
          <w:i/>
          <w:u w:val="single"/>
        </w:rPr>
        <w:t xml:space="preserve">2.</w:t>
      </w:r>
      <w:r>
        <w:t>[</w:t>
      </w:r>
      <w:r>
        <w:rPr>
          <w:b/>
          <w:i/>
          <w:strike w:val="true"/>
        </w:rPr>
        <w:t xml:space="preserve">3.</w:t>
      </w:r>
      <w:r>
        <w:t>]</w:t>
      </w:r>
      <w:r>
        <w:t xml:space="preserve"> Data System Reporting Requirements, adopted March 20,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w:t>
      </w:r>
      <w:r>
        <w:rPr>
          <w:b/>
          <w:i/>
          <w:u w:val="single"/>
        </w:rPr>
        <w:t xml:space="preserve">https://bot.ky.gov/</w:t>
      </w:r>
      <w:r>
        <w:t>[</w:t>
      </w:r>
      <w:r>
        <w:rPr>
          <w:b/>
          <w:i/>
          <w:strike w:val="true"/>
        </w:rPr>
        <w:t xml:space="preserve">https://ot.ky.gov/</w:t>
      </w:r>
      <w:r>
        <w:t>]</w:t>
      </w:r>
      <w:r>
        <w:t xml:space="preserve">.</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w:t>
      </w:r>
      <w:r>
        <w:rPr>
          <w:b/>
          <w:i/>
          <w:u w:val="single"/>
        </w:rPr>
        <w:t xml:space="preserve"> or</w:t>
      </w:r>
    </w:p>
    <w:p>
      <w:pPr>
        <w:pStyle w:val="kar_paragraph"/>
      </w:pPr>
      <w:r>
        <w:t xml:space="preserve">(b)</w:t>
      </w:r>
      <w:r>
        <w:t xml:space="preserve"> </w:t>
      </w:r>
      <w:r>
        <w:t xml:space="preserve">https://otcompact.org/ot-compact-commission/governance-documents/.</w:t>
      </w:r>
    </w:p>
    <w:p>
      <w:pPr>
        <w:pStyle w:val="kar_normal"/>
      </w:pPr>
      <w:r>
        <w:t xml:space="preserve"/>
      </w:r>
    </w:p>
    <w:p>
      <w:pPr>
        <w:pStyle w:val="kar_filed"/>
      </w:pPr>
      <w:r>
        <w:t xml:space="preserve">FILED WITH LRC: August 13,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Staff Attorney III, Department of Professional Licensing, Office of Legal Services, 500 Mero Street, 2 NC WK#2, office phone (502) 782-2709, fax (502) 564-4818, email Sara.Janes@ky.gov.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9a1e3d5fbe44fc" /><Relationship Type="http://schemas.openxmlformats.org/officeDocument/2006/relationships/settings" Target="/word/settings.xml" Id="Rcd78b1e7554c40ca" /></Relationships>
</file>