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a19880f04345f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2:470.</w:t>
      </w:r>
      <w:r>
        <w:t xml:space="preserve"> </w:t>
      </w:r>
      <w:r>
        <w:t xml:space="preserve">Change of ownership.</w:t>
      </w:r>
    </w:p>
    <w:p>
      <w:pPr>
        <w:pStyle w:val="kar_markup_metadata"/>
      </w:pPr>
      <w:r>
        <w:t xml:space="preserve">RELATES TO: </w:t>
      </w:r>
      <w:r>
        <w:t xml:space="preserve">KRS 315.035(5), 315.036(1), 315.340(6), 315.350(4), 315.4104(1)</w:t>
      </w:r>
    </w:p>
    <w:p>
      <w:pPr>
        <w:pStyle w:val="kar_markup_metadata"/>
      </w:pPr>
      <w:r>
        <w:t xml:space="preserve">STATUTORY AUTHORITY: </w:t>
      </w:r>
      <w:r>
        <w:t xml:space="preserve">315.191(1)</w:t>
      </w:r>
    </w:p>
    <w:p>
      <w:pPr>
        <w:pStyle w:val="kar_markup_metadata"/>
      </w:pPr>
      <w:r>
        <w:t xml:space="preserve">NECESSITY, FUNCTION, AND CONFORMITY: </w:t>
      </w:r>
      <w:r>
        <w:t xml:space="preserve">315.191(1) authorizes the board to promulgate administrative regulations to regulate pharmacists, pharmacies, wholesalers, and manufacturers. KRS 315.035(5) requires that if there is a change of ownership of a pharmacy notice is to be provided by a buyer at least five (5) days prior to the date of sale and authorizes a buyer to operate under a seller's permit pending the application. This administrative regulation clarifies criteria in making determinations for when a change of ownership of a regulated entity is considered to occur for various business structures.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Change of entity ownership requiring a new license or permit means: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Partnership. For a partnership, the removal, addition, or substitution of a partner.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Unincorporated sole proprietorship. For an unincorporated sole proprietorship, the transfer of title and property to another party.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Corporation.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For a corporation, the merger of the licensed corporation into another corporation or the consolidation of two (2) or more corporations, resulting in the creation of a new corporation.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Transfer of corporate stock or the merger of another corporation into the licensed corporation does not constitute change of entity ownership; however, notification pursuant to Section 2 of this administrative regulation shall be provided within thirty (30) days of the transaction occurring.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Limited liability company (LLC).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For an LLC, the merger of the licensed LLC into another LLC or the consolidation of two (2) or more LLCs, resulting in the creation of a new LLC.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Transfer of company stock or the merger of another LLC into the licensed LLC does not constitute change of ownership; however, notification pursuant to Section 2 of this administrative regulation shall be provided within thirty (30) days of the transaction occurring.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Procedure.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Written notice of the following shall be provided to the board no more than thirty (30) calendar days after the transaction occurs: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 transfer of stock of greater than ten (10) percent in a non-publicly traded corporation which is the direct owner of an entity;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 transfer of membership interest in an LLC which is the direct owner of an entity; and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A change of corporate officer.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Written notification shall include providing a copy of the purchase agreement if there is a stock or membership interest transfer. Purchase amounts and proprietary information may be redacted.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Responsibility. A permit or license holder which has been served with a complaint and notice of hearing pursuant to KRS Chapter 13B for a pending disciplinary proceeding with the board of Pharmacy shall not change ownership until the issuance of a final order by the board or upon the agreement of all parties to the terms of a settlement.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(50 Ky.R. 2091; eff. 10-23-2024.)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2b343e429e403c" /><Relationship Type="http://schemas.openxmlformats.org/officeDocument/2006/relationships/settings" Target="/word/settings.xml" Id="R03be927087934343" /></Relationships>
</file>