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9ae75aeddf4fc6" /></Relationships>
</file>

<file path=word/document.xml><?xml version="1.0" encoding="utf-8"?>
<w:document xmlns:w="http://schemas.openxmlformats.org/wordprocessingml/2006/main">
  <w:body>
    <w:p>
      <w:pPr>
        <w:pStyle w:val="kar_citation"/>
      </w:pPr>
      <w:r>
        <w:t>787 KAR 1:360.</w:t>
      </w:r>
      <w:r>
        <w:t xml:space="preserve"> </w:t>
      </w:r>
      <w:r>
        <w:t xml:space="preserve">Overpayment waivers.</w:t>
      </w:r>
    </w:p>
    <w:p>
      <w:pPr>
        <w:pStyle w:val="kar_markup_metadata"/>
      </w:pPr>
      <w:r>
        <w:t xml:space="preserve">RELATES TO: </w:t>
      </w:r>
      <w:r>
        <w:t xml:space="preserve">KRS 341.413, 2022 Ky. Acts ch. 199, Part 1D.7.(6)</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This administrative regulation establishes definitions and procedures for waiving overpayments pursuant to KRS Chapters 341, 341.413, and 2022 Ky. Acts ch. 199, Part 1D.7.(6). For unemployment insurance claims filed between January 27, 2020 and September 6, 2021, KRS 341.413 authorizes the secretary to waive overpayments of unemployment insurance benefits if the secretary finds the overpayment was made without fault on the part of the recipient and recovery would be contrary to equity and good conscience.</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"benefits"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Education and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Education and Labor Cabinet.</w:t>
      </w:r>
    </w:p>
    <w:p>
      <w:pPr>
        <w:pStyle w:val="kar_section"/>
      </w:pPr>
      <w:r>
        <w:t xml:space="preserve">Section 2.</w:t>
      </w:r>
      <w:r>
        <w:t xml:space="preserve"> </w:t>
      </w:r>
      <w:r>
        <w:t xml:space="preserve">Waivers.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3.</w:t>
      </w:r>
      <w:r>
        <w:t xml:space="preserve"> </w:t>
      </w:r>
      <w:r>
        <w:t xml:space="preserve">No-fault Determination. For purposes of Section 2(1) of this administrative regulation, the secretary shall make a determination that the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4.</w:t>
      </w:r>
      <w:r>
        <w:t xml:space="preserve"> </w:t>
      </w:r>
      <w:r>
        <w:t xml:space="preserve">Equity and Good Conscience Determination. For purposes of Section 2(2) of this administrative regulation, the secretary shall make a finding that a recovery of an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Recovery could be unconscionable, unjust, or unfair under the circumstances.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4ce8e4b4a247ea" /><Relationship Type="http://schemas.openxmlformats.org/officeDocument/2006/relationships/settings" Target="/word/settings.xml" Id="Rbb7ac9ed2c2542c3" /></Relationships>
</file>