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85c535c8309486d" /></Relationships>
</file>

<file path=word/document.xml><?xml version="1.0" encoding="utf-8"?>
<w:document xmlns:w="http://schemas.openxmlformats.org/wordprocessingml/2006/main">
  <w:body>
    <w:p>
      <w:pPr>
        <w:pStyle w:val="kar_citation"/>
      </w:pPr>
      <w:r>
        <w:t>201 KAR 39:070.</w:t>
      </w:r>
      <w:r>
        <w:t xml:space="preserve"> </w:t>
      </w:r>
      <w:r>
        <w:t xml:space="preserve">Application and qualifications for temporary licensure and extensions.</w:t>
      </w:r>
    </w:p>
    <w:p>
      <w:pPr>
        <w:pStyle w:val="kar_markup_metadata"/>
      </w:pPr>
      <w:r>
        <w:t xml:space="preserve">RELATES TO: </w:t>
      </w:r>
      <w:r>
        <w:t xml:space="preserve">KRS 309.312(1)(b), (3)</w:t>
      </w:r>
    </w:p>
    <w:p>
      <w:pPr>
        <w:pStyle w:val="kar_markup_metadata"/>
      </w:pPr>
      <w:r>
        <w:t xml:space="preserve">STATUTORY AUTHORITY: </w:t>
      </w:r>
      <w:r>
        <w:t xml:space="preserve">KRS 309.304(3), 309.312</w:t>
      </w:r>
    </w:p>
    <w:p>
      <w:pPr>
        <w:pStyle w:val="kar_markup_metadata"/>
      </w:pPr>
      <w:r>
        <w:t xml:space="preserve">NECESSITY, FUNCTION, AND CONFORMITY: </w:t>
      </w:r>
      <w:r>
        <w:t xml:space="preserve">KRS 309.304(3) and 309.312(1)(b) and (3) require the board to promulgate an administrative regulation establishing the requirements for an applicant for temporary licensure as an interpreter for the deaf and hard of hearing. This administrative regulation establishes the requirements regarding temporary licensure, including extensions.</w:t>
      </w:r>
    </w:p>
    <w:p>
      <w:pPr>
        <w:pStyle w:val="kar_section"/>
      </w:pPr>
      <w:r>
        <w:t xml:space="preserve">Section 1.</w:t>
      </w:r>
      <w:r>
        <w:t xml:space="preserve"> </w:t>
      </w:r>
      <w:r>
        <w:t xml:space="preserve">Application for Temporary Licensure. Each applicant shall submit:</w:t>
      </w:r>
    </w:p>
    <w:p>
      <w:pPr>
        <w:pStyle w:val="kar_subsection"/>
      </w:pPr>
      <w:r>
        <w:t xml:space="preserve">(1)</w:t>
      </w:r>
      <w:r>
        <w:t xml:space="preserve"> </w:t>
      </w:r>
      <w:r>
        <w:t xml:space="preserve">A completed Application for Temporary Licensure;</w:t>
      </w:r>
    </w:p>
    <w:p>
      <w:pPr>
        <w:pStyle w:val="kar_subsection"/>
      </w:pPr>
      <w:r>
        <w:t xml:space="preserve">(2)</w:t>
      </w:r>
      <w:r>
        <w:t xml:space="preserve"> </w:t>
      </w:r>
      <w:r>
        <w:t xml:space="preserve">The appropriate application and licensure fees as required by 201 KAR 39:040;</w:t>
      </w:r>
    </w:p>
    <w:p>
      <w:pPr>
        <w:pStyle w:val="kar_subsection"/>
      </w:pPr>
      <w:r>
        <w:t xml:space="preserve">(3)</w:t>
      </w:r>
      <w:r>
        <w:t xml:space="preserve"> </w:t>
      </w:r>
      <w:r>
        <w:t xml:space="preserve">A Plan of Supervision for Temporary License from a board approved supervisor;</w:t>
      </w:r>
    </w:p>
    <w:p>
      <w:pPr>
        <w:pStyle w:val="kar_subsection"/>
      </w:pPr>
      <w:r>
        <w:t xml:space="preserve">(4)</w:t>
      </w:r>
      <w:r>
        <w:t xml:space="preserve"> </w:t>
      </w:r>
      <w:r>
        <w:t xml:space="preserve">Proof documenting passage of the CGKE fundamentals of interpreting, the NIC, or EIPA Skills and Knowledge Assessment for anyone working in the K-12 school setting, within the last five (5) years of application or another current certification from a nationally recognized organization at the requisite level for sign language interpreters, oral interpreters, or cued speech transliterators as determined by the board. If the interpreter is deaf or hard of hearing, forty (40) hours of continuing education focused on general interpretation and ethics may be obtained in lieu of this requirement; and</w:t>
      </w:r>
    </w:p>
    <w:p>
      <w:pPr>
        <w:pStyle w:val="kar_subsection"/>
      </w:pPr>
      <w:r>
        <w:t xml:space="preserve">(5)</w:t>
      </w:r>
      <w:r>
        <w:t xml:space="preserve"> </w:t>
      </w:r>
      <w:r>
        <w:t xml:space="preserve">Proof of achieving or holding one (1) of the following:</w:t>
      </w:r>
    </w:p>
    <w:p>
      <w:pPr>
        <w:pStyle w:val="kar_paragraph"/>
      </w:pPr>
      <w:r>
        <w:t xml:space="preserve">(a)</w:t>
      </w:r>
      <w:r>
        <w:t xml:space="preserve"> </w:t>
      </w:r>
      <w:r>
        <w:t xml:space="preserve">Valid NAD Level III as a currently certified member;</w:t>
      </w:r>
    </w:p>
    <w:p>
      <w:pPr>
        <w:pStyle w:val="kar_paragraph"/>
      </w:pPr>
      <w:r>
        <w:t xml:space="preserve">(b)</w:t>
      </w:r>
      <w:r>
        <w:t xml:space="preserve"> </w:t>
      </w:r>
      <w:r>
        <w:t xml:space="preserve">SLPI Advanced or better, within three (3) years of application;</w:t>
      </w:r>
    </w:p>
    <w:p>
      <w:pPr>
        <w:pStyle w:val="kar_paragraph"/>
      </w:pPr>
      <w:r>
        <w:t xml:space="preserve">(c)</w:t>
      </w:r>
      <w:r>
        <w:t xml:space="preserve"> </w:t>
      </w:r>
      <w:r>
        <w:t xml:space="preserve">ASLPI of three and one-half (3.5) or better, within three (3) years of application;</w:t>
      </w:r>
    </w:p>
    <w:p>
      <w:pPr>
        <w:pStyle w:val="kar_paragraph"/>
      </w:pPr>
      <w:r>
        <w:t xml:space="preserve">(d)</w:t>
      </w:r>
      <w:r>
        <w:t xml:space="preserve"> </w:t>
      </w:r>
      <w:r>
        <w:t xml:space="preserve">EIPA of three and one-half (3.5) or better, within three (3) years of application; or</w:t>
      </w:r>
    </w:p>
    <w:p>
      <w:pPr>
        <w:pStyle w:val="kar_paragraph"/>
      </w:pPr>
      <w:r>
        <w:t xml:space="preserve">(e)</w:t>
      </w:r>
      <w:r>
        <w:t xml:space="preserve"> </w:t>
      </w:r>
      <w:r>
        <w:t xml:space="preserve">BEI Basic or better, within three (3) years of application.</w:t>
      </w:r>
    </w:p>
    <w:p>
      <w:pPr>
        <w:pStyle w:val="kar_section"/>
      </w:pPr>
      <w:r>
        <w:t xml:space="preserve">Section 2.</w:t>
      </w:r>
      <w:r>
        <w:t xml:space="preserve"> </w:t>
      </w:r>
      <w:r>
        <w:t xml:space="preserve">Temporary Licensure Duration.</w:t>
      </w:r>
    </w:p>
    <w:p>
      <w:pPr>
        <w:pStyle w:val="kar_subsection"/>
      </w:pPr>
      <w:r>
        <w:t xml:space="preserve">(1)</w:t>
      </w:r>
      <w:r>
        <w:t xml:space="preserve"> </w:t>
      </w:r>
      <w:r>
        <w:t xml:space="preserve">An individual may hold temporary licensure for a maximum of five (5) consecutive licensure years from the date of initial issuance.</w:t>
      </w:r>
    </w:p>
    <w:p>
      <w:pPr>
        <w:pStyle w:val="kar_subsection"/>
      </w:pPr>
      <w:r>
        <w:t xml:space="preserve">(2)</w:t>
      </w:r>
      <w:r>
        <w:t xml:space="preserve"> </w:t>
      </w:r>
      <w:r>
        <w:t xml:space="preserve">An individual who is deaf or hard of hearing may hold temporary licensure for a maximum of ten (10) consecutive licensure years from the date of initial licensure.</w:t>
      </w:r>
    </w:p>
    <w:p>
      <w:pPr>
        <w:pStyle w:val="kar_subsection"/>
      </w:pPr>
      <w:r>
        <w:t xml:space="preserve">(3)</w:t>
      </w:r>
      <w:r>
        <w:t xml:space="preserve"> </w:t>
      </w:r>
      <w:r>
        <w:t xml:space="preserve">Any extension of a temporary license shall occur during the period established in subsection (1) or (2) of this section and 201 KAR 36:050, Sections 3 and 4.</w:t>
      </w:r>
    </w:p>
    <w:p>
      <w:pPr>
        <w:pStyle w:val="kar_subsection"/>
      </w:pPr>
      <w:r>
        <w:t xml:space="preserve">(4)</w:t>
      </w:r>
      <w:r>
        <w:t xml:space="preserve"> </w:t>
      </w:r>
      <w:r>
        <w:t xml:space="preserve">The board may, in individual cases involving medical disability, illness, undue hardship, or active military service, or other extenuating circumstances that preclude the individual from completing the requirements within the timeframe set forth in (1) and (2) above, grant an extension of temporary licensure for one (1) additional one (1) year period for applicants who submit to the board:</w:t>
      </w:r>
    </w:p>
    <w:p>
      <w:pPr>
        <w:pStyle w:val="kar_paragraph"/>
      </w:pPr>
      <w:r>
        <w:t xml:space="preserve">(a)</w:t>
      </w:r>
      <w:r>
        <w:t xml:space="preserve"> </w:t>
      </w:r>
      <w:r>
        <w:t xml:space="preserve">A written request for a one (1) time, one (1) year extension of the temporary licensure term identified in (1) and (2) above, delivered to the board, by certified mail, no less than thirty (30) days before the expiration of the temporary license; and</w:t>
      </w:r>
    </w:p>
    <w:p>
      <w:pPr>
        <w:pStyle w:val="kar_paragraph"/>
      </w:pPr>
      <w:r>
        <w:t xml:space="preserve">(b)</w:t>
      </w:r>
      <w:r>
        <w:t xml:space="preserve"> </w:t>
      </w:r>
    </w:p>
    <w:p>
      <w:pPr>
        <w:pStyle w:val="kar_subparagraph"/>
      </w:pPr>
      <w:r>
        <w:t xml:space="preserve">1.</w:t>
      </w:r>
      <w:r>
        <w:t xml:space="preserve"> </w:t>
      </w:r>
      <w:r>
        <w:t xml:space="preserve">Verifying documentation signed by a licensed physician or proper military personnel, if applicable; or</w:t>
      </w:r>
    </w:p>
    <w:p>
      <w:pPr>
        <w:pStyle w:val="kar_subparagraph"/>
      </w:pPr>
      <w:r>
        <w:t xml:space="preserve">2.</w:t>
      </w:r>
      <w:r>
        <w:t xml:space="preserve"> </w:t>
      </w:r>
      <w:r>
        <w:t xml:space="preserve">Documentation that provides evidence to support the extension.</w:t>
      </w:r>
    </w:p>
    <w:p>
      <w:pPr>
        <w:pStyle w:val="kar_section"/>
      </w:pPr>
      <w:r>
        <w:t xml:space="preserve">Section 3.</w:t>
      </w:r>
      <w:r>
        <w:t xml:space="preserve"> </w:t>
      </w:r>
      <w:r>
        <w:t xml:space="preserve">Supervision Requirements.Each applicant for a temporary license shall be trained and supervised by a board-approved supervisor and shall meet the requirements of 201 KAR 39:075.</w:t>
      </w:r>
    </w:p>
    <w:p>
      <w:pPr>
        <w:pStyle w:val="kar_section"/>
      </w:pPr>
      <w:r>
        <w:t xml:space="preserve">Section 4.</w:t>
      </w:r>
      <w:r>
        <w:t xml:space="preserve"> </w:t>
      </w:r>
      <w:r>
        <w:t xml:space="preserve">Extensions of Temporary Licenses.</w:t>
      </w:r>
    </w:p>
    <w:p>
      <w:pPr>
        <w:pStyle w:val="kar_subsection"/>
      </w:pPr>
      <w:r>
        <w:t xml:space="preserve">(1)</w:t>
      </w:r>
      <w:r>
        <w:t xml:space="preserve"> </w:t>
      </w:r>
      <w:r>
        <w:t xml:space="preserve">Temporary licenses shall expire on July 1 each year. To extend a temporary license, a request for extension shall be submitted by July 1 each year. An applicant whose temporary license has expired may apply for an extension during the initial five (5) year period for a hearing interpreter, or the initial ten (10) year period for a deaf interpreter, from the date the temporary license was issued. The board may issue the extension for good cause shown as determined by board, and the duration of the extended temporary license shall not exceed the duration of the initial temporary license.</w:t>
      </w:r>
    </w:p>
    <w:p>
      <w:pPr>
        <w:pStyle w:val="kar_subsection"/>
      </w:pPr>
      <w:r>
        <w:t xml:space="preserve">(2)</w:t>
      </w:r>
      <w:r>
        <w:t xml:space="preserve"> </w:t>
      </w:r>
      <w:r>
        <w:t xml:space="preserve">To request an extension of a temporary license a temporary licensee shall submit:</w:t>
      </w:r>
    </w:p>
    <w:p>
      <w:pPr>
        <w:pStyle w:val="kar_paragraph"/>
      </w:pPr>
      <w:r>
        <w:t xml:space="preserve">(a)</w:t>
      </w:r>
      <w:r>
        <w:t xml:space="preserve"> </w:t>
      </w:r>
      <w:r>
        <w:t xml:space="preserve">A completed Temporary License Extension Application form;</w:t>
      </w:r>
    </w:p>
    <w:p>
      <w:pPr>
        <w:pStyle w:val="kar_paragraph"/>
      </w:pPr>
      <w:r>
        <w:t xml:space="preserve">(b)</w:t>
      </w:r>
      <w:r>
        <w:t xml:space="preserve"> </w:t>
      </w:r>
      <w:r>
        <w:t xml:space="preserve">The appropriate fee set forth in 201 KAR 39:040;</w:t>
      </w:r>
    </w:p>
    <w:p>
      <w:pPr>
        <w:pStyle w:val="kar_paragraph"/>
      </w:pPr>
      <w:r>
        <w:t xml:space="preserve">(c)</w:t>
      </w:r>
      <w:r>
        <w:t xml:space="preserve"> </w:t>
      </w:r>
      <w:r>
        <w:t xml:space="preserve">Proof of completion of the continuing education requirements set forth in 201 KAR 39:090;</w:t>
      </w:r>
    </w:p>
    <w:p>
      <w:pPr>
        <w:pStyle w:val="kar_paragraph"/>
      </w:pPr>
      <w:r>
        <w:t xml:space="preserve">(d)</w:t>
      </w:r>
      <w:r>
        <w:t xml:space="preserve"> </w:t>
      </w:r>
      <w:r>
        <w:t xml:space="preserve">A letter recommending extension written by the board-approved supervisor for the previous licensure term which describes the progress achieved by the supervisee; and</w:t>
      </w:r>
    </w:p>
    <w:p>
      <w:pPr>
        <w:pStyle w:val="kar_paragraph"/>
      </w:pPr>
      <w:r>
        <w:t xml:space="preserve">(e)</w:t>
      </w:r>
      <w:r>
        <w:t xml:space="preserve"> </w:t>
      </w:r>
      <w:r>
        <w:t xml:space="preserve">A revised plan of supervision for the upcoming licensure year.</w:t>
      </w:r>
    </w:p>
    <w:p>
      <w:pPr>
        <w:pStyle w:val="kar_subsection"/>
      </w:pPr>
      <w:r>
        <w:t xml:space="preserve">(3)</w:t>
      </w:r>
      <w:r>
        <w:t xml:space="preserve"> </w:t>
      </w:r>
      <w:r>
        <w:t xml:space="preserve">The extensions of temporary licenses under this section shall be subject to the term limitations imposed by Section 2(1) and (2) of this administrative regulation.</w:t>
      </w:r>
    </w:p>
    <w:p>
      <w:pPr>
        <w:pStyle w:val="kar_subsection"/>
      </w:pPr>
      <w:r>
        <w:t xml:space="preserve">(4)</w:t>
      </w:r>
      <w:r>
        <w:t xml:space="preserve"> </w:t>
      </w:r>
      <w:r>
        <w:t xml:space="preserve">The board may extend the use of the temporary license to an applicant who has submitted an Application for Extension on or before the July 1 deadline for a period not to exceed sixty (60) days. The board shall review the application for extension prior to the expiration of the sixty (60) day period.</w:t>
      </w:r>
    </w:p>
    <w:p>
      <w:pPr>
        <w:pStyle w:val="kar_section"/>
      </w:pPr>
      <w:r>
        <w:t xml:space="preserve">Section 5.</w:t>
      </w:r>
      <w:r>
        <w:t xml:space="preserve"> </w:t>
      </w:r>
      <w:r>
        <w:t xml:space="preserve">Appeal of Denial of an Application for Temporary Licensure.</w:t>
      </w:r>
    </w:p>
    <w:p>
      <w:pPr>
        <w:pStyle w:val="kar_subsection"/>
      </w:pPr>
      <w:r>
        <w:t xml:space="preserve">(1)</w:t>
      </w:r>
      <w:r>
        <w:t xml:space="preserve"> </w:t>
      </w:r>
      <w:r>
        <w:t xml:space="preserve">If an Application for Temporary Licensure is denied, the applicant shall have the right to appeal that preliminary determination.</w:t>
      </w:r>
    </w:p>
    <w:p>
      <w:pPr>
        <w:pStyle w:val="kar_subsection"/>
      </w:pPr>
      <w:r>
        <w:t xml:space="preserve">(2)</w:t>
      </w:r>
      <w:r>
        <w:t xml:space="preserve"> </w:t>
      </w:r>
      <w:r>
        <w:t xml:space="preserve">An appeal shall be:</w:t>
      </w:r>
    </w:p>
    <w:p>
      <w:pPr>
        <w:pStyle w:val="kar_paragraph"/>
      </w:pPr>
      <w:r>
        <w:t xml:space="preserve">(a)</w:t>
      </w:r>
      <w:r>
        <w:t xml:space="preserve"> </w:t>
      </w:r>
      <w:r>
        <w:t xml:space="preserve">Submitted to the board in writing by certified mail; and</w:t>
      </w:r>
    </w:p>
    <w:p>
      <w:pPr>
        <w:pStyle w:val="kar_paragraph"/>
      </w:pPr>
      <w:r>
        <w:t xml:space="preserve">(b)</w:t>
      </w:r>
      <w:r>
        <w:t xml:space="preserve"> </w:t>
      </w:r>
      <w:r>
        <w:t xml:space="preserve">Received by the board within thirty (30) days after the date the applicant receives the notice of preliminary denial by certified mail or by email message delivered to the addresses stated on the Application for Licensure.</w:t>
      </w:r>
    </w:p>
    <w:p>
      <w:pPr>
        <w:pStyle w:val="kar_subsection"/>
      </w:pPr>
      <w:r>
        <w:t xml:space="preserve">(3)</w:t>
      </w:r>
      <w:r>
        <w:t xml:space="preserve"> </w:t>
      </w:r>
      <w:r>
        <w:t xml:space="preserve">The appeal of a preliminary denial of an Application for Licensure shall be held in accordance with the provisions of KRS Chapter 13B.</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"Application for Temporary Licensure", DPL-KBI-04, April 2024, is incorporated by reference.</w:t>
      </w:r>
    </w:p>
    <w:p>
      <w:pPr>
        <w:pStyle w:val="kar_subsection"/>
      </w:pPr>
      <w:r>
        <w:t xml:space="preserve">(2)</w:t>
      </w:r>
      <w:r>
        <w:t xml:space="preserve"> </w:t>
      </w:r>
      <w:r>
        <w:t xml:space="preserve">"Plan of Supervision for Temporary License", DPL-KBI-05, April 2024, is incorporated by reference.</w:t>
      </w:r>
    </w:p>
    <w:p>
      <w:pPr>
        <w:pStyle w:val="kar_subsection"/>
      </w:pPr>
      <w:r>
        <w:t xml:space="preserve">(3)</w:t>
      </w:r>
      <w:r>
        <w:t xml:space="preserve"> </w:t>
      </w:r>
      <w:r>
        <w:t xml:space="preserve">"Temporary License Extension Application", DPL-KBI-06, October 2024.</w:t>
      </w:r>
    </w:p>
    <w:p>
      <w:pPr>
        <w:pStyle w:val="kar_subsection"/>
        <w:sectPr>
          <w:pgSz w:w="12240" w:h="15840" w:orient="portrait" w:code="1"/>
          <w:pgMar w:top="1080" w:right="1080" w:bottom="1080" w:left="1080" w:header="720" w:footer="720" w:gutter="0"/>
          <w:paperSrc w:first="263" w:other="263"/>
          <w:noEndnote/>
          <w:docGrid w:linePitch="218"/>
        </w:sectPr>
      </w:pPr>
      <w:r>
        <w:t xml:space="preserve">(4)</w:t>
      </w:r>
      <w:r>
        <w:t xml:space="preserve"> </w:t>
      </w:r>
      <w:r>
        <w:t xml:space="preserve">This material may be inspected, copied, or obtained, subject to applicable copyright law, at the Department of Professional Licensing, 500 Mero Street, Frankfort, Kentucky 40601, Monday through Friday, 8:00 a.m. to 4:30 p.m. and can be found on the board Web site at kbi.ky.gov.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a11241daeb44af5" /><Relationship Type="http://schemas.openxmlformats.org/officeDocument/2006/relationships/settings" Target="/word/settings.xml" Id="R122ebc16d8be4aaa" /></Relationships>
</file>