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96d50b85245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1:150.</w:t>
      </w:r>
      <w:r>
        <w:t xml:space="preserve"> </w:t>
      </w:r>
      <w:r>
        <w:t xml:space="preserve">Procedures for the dissemination of information relative to hearings held before the Kentucky State Board of Accountancy.</w:t>
      </w:r>
    </w:p>
    <w:p>
      <w:pPr>
        <w:pStyle w:val="kar_markup_metadata"/>
      </w:pPr>
      <w:r>
        <w:t xml:space="preserve">RELATES TO: </w:t>
      </w:r>
      <w:r>
        <w:t xml:space="preserve">KRS 325.360(10), (11)</w:t>
      </w:r>
    </w:p>
    <w:p>
      <w:pPr>
        <w:pStyle w:val="kar_markup_metadata"/>
      </w:pPr>
      <w:r>
        <w:t xml:space="preserve">STATUTORY AUTHORITY: </w:t>
      </w:r>
      <w:r>
        <w:t xml:space="preserve">KRS 325.240(2)</w:t>
      </w:r>
    </w:p>
    <w:p>
      <w:pPr>
        <w:pStyle w:val="kar_markup_metadata"/>
      </w:pPr>
      <w:r>
        <w:t xml:space="preserve">NECESSITY, FUNCTION, AND CONFORMITY: </w:t>
      </w:r>
      <w:r>
        <w:t xml:space="preserve">KRS 325.240(2) authorizes the Kentucky State Board of Accountancy to promulgate administrative regulations for the administration of KRS Chapter 325. This administrative regulation establishes requirements for the dissemination of information.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Following the board's adoption of a final order which concludes a disciplinary action, the name of the licensee and a summary of the findings shall be published in the next edition of the board's newsletter and a copy of the order shall be placed on the board's Web site, www.cpa.ky.gov.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(18 Ky.R. 3070; eff. 6-7-1992; Am. 28 Ky.R. 1673; 2328; eff. 5-16-2002; 42 Ky.R. 823; 1460; eff. 12-4-2015; Cert. eff. 12-2-2022.)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eb3bc6a6a4766" /><Relationship Type="http://schemas.openxmlformats.org/officeDocument/2006/relationships/settings" Target="/word/settings.xml" Id="Rac34031553954355" /></Relationships>
</file>