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4cfe57cf6d45ea" /></Relationships>
</file>

<file path=word/document.xml><?xml version="1.0" encoding="utf-8"?>
<w:document xmlns:w="http://schemas.openxmlformats.org/wordprocessingml/2006/main">
  <w:body>
    <w:p>
      <w:pPr>
        <w:pStyle w:val="kar_markup_header"/>
      </w:pPr>
      <w:r>
        <w:t xml:space="preserve">HORSE RACING AND GAMING CORPORATION</w:t>
      </w:r>
    </w:p>
    <w:p>
      <w:pPr>
        <w:pStyle w:val="kar_markup_header"/>
        <w:ind w:firstLine="0"/>
      </w:pPr>
      <w:r>
        <w:t>(Amendment)</w:t>
      </w:r>
    </w:p>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230.215(2)(a), (c), 230.260(8)</w:t>
      </w:r>
    </w:p>
    <w:p>
      <w:pPr>
        <w:pStyle w:val="kar_markup_metadata"/>
      </w:pPr>
      <w:r>
        <w:t xml:space="preserve">NECESSITY, FUNCTION, AND CONFORMITY: </w:t>
      </w:r>
      <w:r>
        <w:t xml:space="preserve">KRS 230.215(2)(a) and (c) authorize the Kentucky Horse Racing and Gaming Corporation to promulgate administrative regulations prescribing the conditions under which all horse racing is conducted in Kentucky. KRS 230.260(8) authorizes the corporation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 </w:t>
      </w:r>
    </w:p>
    <w:p>
      <w:pPr>
        <w:pStyle w:val="kar_paragraph"/>
      </w:pPr>
      <w:r>
        <w:rPr>
          <w:u w:val="single"/>
        </w:rPr>
        <w:t xml:space="preserve">(a)</w:t>
      </w:r>
      <w:r>
        <w:t xml:space="preserve"> </w:t>
      </w:r>
      <w:r>
        <w:t xml:space="preserve">A horse shall not be entered in two (2) races to be run on the same day</w:t>
      </w:r>
      <w:r>
        <w:rPr>
          <w:u w:val="single"/>
        </w:rPr>
        <w:t xml:space="preserve">, unless:</w:t>
      </w:r>
    </w:p>
    <w:p>
      <w:pPr>
        <w:pStyle w:val="kar_subparagraph"/>
      </w:pPr>
      <w:r>
        <w:rPr>
          <w:u w:val="single"/>
        </w:rPr>
        <w:t xml:space="preserve">1.</w:t>
      </w:r>
      <w:r>
        <w:t xml:space="preserve"> </w:t>
      </w:r>
      <w:r>
        <w:rPr>
          <w:u w:val="single"/>
        </w:rPr>
        <w:t xml:space="preserve">Both races are graded-stakes races;</w:t>
      </w:r>
    </w:p>
    <w:p>
      <w:pPr>
        <w:pStyle w:val="kar_subparagraph"/>
      </w:pPr>
      <w:r>
        <w:rPr>
          <w:u w:val="single"/>
        </w:rPr>
        <w:t xml:space="preserve">2.</w:t>
      </w:r>
      <w:r>
        <w:t xml:space="preserve"> </w:t>
      </w:r>
      <w:r>
        <w:rPr>
          <w:u w:val="single"/>
        </w:rPr>
        <w:t xml:space="preserve">The horse will not be in the body of both races; and</w:t>
      </w:r>
    </w:p>
    <w:p>
      <w:pPr>
        <w:pStyle w:val="kar_subparagraph"/>
      </w:pPr>
      <w:r>
        <w:rPr>
          <w:u w:val="single"/>
        </w:rPr>
        <w:t xml:space="preserve">3.</w:t>
      </w:r>
      <w:r>
        <w:t xml:space="preserve"> </w:t>
      </w:r>
      <w:r>
        <w:rPr>
          <w:u w:val="single"/>
        </w:rPr>
        <w:t xml:space="preserve">The horse is not entered in either race to the exclusion of any horse.</w:t>
      </w:r>
    </w:p>
    <w:p>
      <w:pPr>
        <w:pStyle w:val="kar_paragraph"/>
      </w:pPr>
      <w:r>
        <w:rPr>
          <w:u w:val="single"/>
        </w:rPr>
        <w:t xml:space="preserve">(b)</w:t>
      </w:r>
      <w:r>
        <w:t xml:space="preserve"> </w:t>
      </w:r>
      <w:r>
        <w:rPr>
          <w:u w:val="single"/>
        </w:rPr>
        <w:t xml:space="preserve">Regardless of Section 15(1)(a), a horse entered in two races to be run on the same day must scratch from at least one of the races at the earliest posted scratch time applicable to either race</w:t>
      </w:r>
      <w:r>
        <w:t xml:space="preserve">.</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days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negative hair samples with a test date within thirty (30) days of the race or have a hair sample pulled by a corporation veterinarian prior to the race and sent to a testing laboratory. If a hair sample taken by a corporation veterinarian returns a positive finding, the horse shall be disqualified and the owner and trainer may incur penalties established in 810 KAR 8:030. In addition, all quarter horses shall submit to out-of-competition testing as established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w:t>
      </w:r>
      <w:r>
        <w:rPr>
          <w:u w:val="single"/>
        </w:rPr>
        <w:t xml:space="preserve">ownership or</w:t>
      </w:r>
      <w:r>
        <w:t xml:space="preserve">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w:t>
      </w:r>
      <w:r>
        <w:t>[</w:t>
      </w:r>
      <w:r>
        <w:rPr>
          <w:strike w:val="true"/>
        </w:rPr>
        <w:t xml:space="preserve">, or having common ties through training</w:t>
      </w:r>
      <w:r>
        <w:t>]</w:t>
      </w:r>
      <w:r>
        <w:t xml:space="preserve">,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w:t>
      </w:r>
      <w:r>
        <w:t>[</w:t>
      </w:r>
      <w:r>
        <w:rPr>
          <w:strike w:val="true"/>
        </w:rPr>
        <w:t xml:space="preserve">or training </w:t>
      </w:r>
      <w:r>
        <w:t>]</w:t>
      </w:r>
      <w:r>
        <w:t xml:space="preserve">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corporation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w:t>
      </w:r>
      <w:r>
        <w:t>[</w:t>
      </w:r>
      <w:r>
        <w:rPr>
          <w:strike w:val="true"/>
        </w:rPr>
        <w:t xml:space="preserve">,</w:t>
      </w:r>
      <w:r>
        <w:t>]</w:t>
      </w:r>
      <w:r>
        <w:t xml:space="preserve"> into the race as starters</w:t>
      </w:r>
      <w:r>
        <w:rPr>
          <w:u w:val="single"/>
        </w:rPr>
        <w:t xml:space="preserve">,</w:t>
      </w:r>
      <w:r>
        <w:t xml:space="preserve">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w:t>
      </w:r>
      <w:r>
        <w:rPr>
          <w:u w:val="single"/>
        </w:rPr>
        <w:t xml:space="preserve">not </w:t>
      </w:r>
      <w:r>
        <w:t xml:space="preserve">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If there is a scratch in a straightaway quarter horse race that has an also eligible list, the also eligible horse shall take the post position of the scratched horse. If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corporation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corporation's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corporation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rPr>
          <w:u w:val="single"/>
        </w:rPr>
        <w:t xml:space="preserve">Entry </w:t>
      </w:r>
      <w:r>
        <w:t xml:space="preserve">Examination by Attending Veterinarian.</w:t>
      </w:r>
    </w:p>
    <w:p>
      <w:pPr>
        <w:pStyle w:val="kar_subsection"/>
      </w:pPr>
      <w:r>
        <w:t xml:space="preserve">(1)</w:t>
      </w:r>
      <w:r>
        <w:t xml:space="preserve"> </w:t>
      </w:r>
      <w:r>
        <w:rPr>
          <w:u w:val="single"/>
        </w:rPr>
        <w:t xml:space="preserve">A</w:t>
      </w:r>
      <w:r>
        <w:t>[</w:t>
      </w:r>
      <w:r>
        <w:rPr>
          <w:strike w:val="true"/>
        </w:rPr>
        <w:t xml:space="preserve">Subject to the exception in subsection (4) of this section, a</w:t>
      </w:r>
      <w:r>
        <w:t>]</w:t>
      </w:r>
      <w:r>
        <w:t xml:space="preserve"> horse shall only </w:t>
      </w:r>
      <w:r>
        <w:rPr>
          <w:u w:val="single"/>
        </w:rPr>
        <w:t xml:space="preserve">start</w:t>
      </w:r>
      <w:r>
        <w:t>[</w:t>
      </w:r>
      <w:r>
        <w:rPr>
          <w:strike w:val="true"/>
        </w:rPr>
        <w:t xml:space="preserve">be entered</w:t>
      </w:r>
      <w:r>
        <w:t>]</w:t>
      </w:r>
      <w:r>
        <w:t xml:space="preserve">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w:t>
      </w:r>
      <w:r>
        <w:rPr>
          <w:u w:val="single"/>
        </w:rPr>
        <w:t xml:space="preserve">within</w:t>
      </w:r>
      <w:r>
        <w:t>[</w:t>
      </w:r>
      <w:r>
        <w:rPr>
          <w:strike w:val="true"/>
        </w:rPr>
        <w:t xml:space="preserve">no more than</w:t>
      </w:r>
      <w:r>
        <w:t>]</w:t>
      </w:r>
      <w:r>
        <w:t xml:space="preserve"> three (3) days </w:t>
      </w:r>
      <w:r>
        <w:rPr>
          <w:u w:val="single"/>
        </w:rPr>
        <w:t xml:space="preserve">after the close of entries and no later than two (2) days before the race; and</w:t>
      </w:r>
      <w:r>
        <w:t>[</w:t>
      </w:r>
      <w:r>
        <w:rPr>
          <w:strike w:val="true"/>
        </w:rPr>
        <w:t xml:space="preserve">prior to entry;</w:t>
      </w:r>
      <w:r>
        <w:t>]</w:t>
      </w:r>
    </w:p>
    <w:p>
      <w:pPr>
        <w:pStyle w:val="kar_paragraph"/>
      </w:pPr>
      <w:r>
        <w:t xml:space="preserve">(b)</w:t>
      </w:r>
      <w:r>
        <w:t xml:space="preserve"> </w:t>
      </w:r>
      <w:r>
        <w:t xml:space="preserve">The attending veterinarian certifies </w:t>
      </w:r>
      <w:r>
        <w:rPr>
          <w:u w:val="single"/>
        </w:rPr>
        <w:t xml:space="preserve">and electronically submits a report to the Equine Medical Director or its designee</w:t>
      </w:r>
      <w:r>
        <w:t>[</w:t>
      </w:r>
      <w:r>
        <w:rPr>
          <w:strike w:val="true"/>
        </w:rPr>
        <w:t xml:space="preserve">in writing</w:t>
      </w:r>
      <w:r>
        <w:t>]</w:t>
      </w:r>
      <w:r>
        <w:t xml:space="preserve"> that the horse is in serviceable, sound racing condition</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The written certification is provided to the Equine Medical Director or designee no later than the time of entry.</w:t>
      </w:r>
      <w:r>
        <w:t>]</w:t>
      </w:r>
    </w:p>
    <w:p>
      <w:pPr>
        <w:pStyle w:val="kar_subsection"/>
      </w:pPr>
      <w:r>
        <w:t xml:space="preserve">(2)</w:t>
      </w:r>
      <w:r>
        <w:t xml:space="preserve"> </w:t>
      </w:r>
      <w:r>
        <w:t xml:space="preserve">The examination required by subsection (1)(a) of this section shall include</w:t>
      </w:r>
      <w:r>
        <w:rPr>
          <w:u w:val="single"/>
        </w:rPr>
        <w:t xml:space="preserve">, at a minimum, examination of the legs and observation of the horse at rest and while jogging.</w:t>
      </w:r>
      <w:r>
        <w:t>[</w:t>
      </w:r>
      <w:r>
        <w:rPr>
          <w:strike w:val="true"/>
        </w:rPr>
        <w:t xml:space="preserve">watching the horse jog in hand.</w:t>
      </w:r>
      <w:r>
        <w:t>]</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corporation's veterinarian no later than one (1) day before the horse is set to start.</w:t>
      </w:r>
    </w:p>
    <w:p>
      <w:pPr>
        <w:pStyle w:val="kar_subsection"/>
      </w:pPr>
      <w:r>
        <w:t>[</w:t>
      </w:r>
      <w:r>
        <w:rPr>
          <w:strike w:val="true"/>
        </w:rPr>
        <w:t xml:space="preserve">(4)</w:t>
      </w:r>
      <w:r>
        <w:t>]</w:t>
      </w:r>
      <w:r>
        <w:t xml:space="preserve"> </w:t>
      </w:r>
      <w:r>
        <w:t>[</w:t>
      </w:r>
      <w:r>
        <w:rPr>
          <w:strike w:val="true"/>
        </w:rP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r>
        <w:t>]</w:t>
      </w:r>
    </w:p>
    <w:p>
      <w:pPr>
        <w:pStyle w:val="kar_signature"/>
      </w:pPr>
      <w:r>
        <w:t xml:space="preserve">JONATHAN RABINOWITZ, Chair</w:t>
      </w:r>
    </w:p>
    <w:p>
      <w:pPr>
        <w:pStyle w:val="kar_normal"/>
      </w:pPr>
      <w:r>
        <w:t xml:space="preserve"/>
      </w:r>
    </w:p>
    <w:p>
      <w:pPr>
        <w:pStyle w:val="kar_approved_by"/>
      </w:pPr>
      <w:r>
        <w:t xml:space="preserve">APPROVED BY AGENCY: November 8, 2024</w:t>
      </w:r>
    </w:p>
    <w:p>
      <w:pPr>
        <w:pStyle w:val="kar_filed"/>
      </w:pPr>
      <w:r>
        <w:t xml:space="preserve">FILED WITH LRC: November 12, 2024 at 11:14 a.m.</w:t>
      </w:r>
    </w:p>
    <w:p>
      <w:pPr>
        <w:pStyle w:val="kar_normal"/>
      </w:pPr>
      <w:r>
        <w:t xml:space="preserve"/>
      </w:r>
    </w:p>
    <w:p>
      <w:pPr>
        <w:pStyle w:val="kar_comment_period"/>
      </w:pPr>
      <w:r>
        <w:t xml:space="preserve">PUBLIC HEARING AND PUBLIC COMMENT PERIOD: A public hearing on this administrative regulation shall be held on January 23, 2025, at 9:00 a.m. ET at the offices of the Kentucky Horse Racing and Gaming Corporation, 4047 Iron Works Parkway,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2025. Send written notification of intent to be heard at the public hearing or written comments on the proposed administrative regulation to the contact person.</w:t>
      </w:r>
    </w:p>
    <w:p>
      <w:pPr>
        <w:pStyle w:val="kar_contact_person"/>
      </w:pPr>
      <w:r>
        <w:t xml:space="preserve">CONTACT PERSON: Travers Manley, Interim General Counsel, Kentucky Horse Racing Commission, 4047 Iron Works Parkway, Lexington, Kentucky 40511, phone (859) 246-2040, fax (859) 246-2039, email travers.manley@ky.gov.</w:t>
      </w:r>
    </w:p>
    <w:p>
      <w:pPr>
        <w:pStyle w:val="kar_form_name"/>
      </w:pPr>
      <w:r>
        <w:t xml:space="preserve">REGULATORY IMPACT ANALYSIS AND TIERING STATEMENT</w:t>
      </w:r>
    </w:p>
    <w:p>
      <w:pPr>
        <w:pStyle w:val="kar_normal"/>
        <w:ind w:left="0"/>
      </w:pPr>
      <w:r>
        <w:t xml:space="preserve">Contact Person:</w:t>
      </w:r>
      <w:r>
        <w:t xml:space="preserve"> Travers Manley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and procedures related to flat and steeplechase racing entries, subscriptions, and declarations of horses in order to race.</w:t>
      </w:r>
    </w:p>
    <w:p>
      <w:pPr>
        <w:pStyle w:val="kar_normal"/>
        <w:ind w:left="576"/>
      </w:pPr>
      <w:r>
        <w:t xml:space="preserve">(b) The necessity of this administrative regulation:</w:t>
      </w:r>
    </w:p>
    <w:p>
      <w:pPr>
        <w:pStyle w:val="kar_normal"/>
        <w:ind w:left="720"/>
      </w:pPr>
      <w:r>
        <w:t xml:space="preserve">This regulation is necessary to provide requirements and procedures related to flat and steeplechase racing entries, subscriptions, and declarations of horses in order to race and promotes the integrity of horse racing.</w:t>
      </w:r>
    </w:p>
    <w:p>
      <w:pPr>
        <w:pStyle w:val="kar_normal"/>
        <w:ind w:left="576"/>
      </w:pPr>
      <w:r>
        <w:t xml:space="preserve">(c) How this administrative regulation conforms to the content of the authorizing statutes:</w:t>
      </w:r>
    </w:p>
    <w:p>
      <w:pPr>
        <w:pStyle w:val="kar_normal"/>
        <w:ind w:left="720"/>
      </w:pPr>
      <w:r>
        <w:t xml:space="preserve">The Kentucky Horse Racing and Gaming Corporation is vested with forceful control of horse racing in the Commonwealth. KRS 230.215(2)(a). The KHRGC is vested with jurisdiction and supervision over all live horse racing and pari-mutuel wagering in the state and over all associations and persons on association grounds. KRS 230.260(1). The KHRGC shall have full authority to prescribe necessary and reasonable administrative regulations under which horse racing at a horse race meeting shall be conducted in Kentucky. KRS 230.260(8). This regulation provides necessary requirements for flat and steeplechase racing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providing important requirements for flat and steeplechase racing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four sections in 4:030. The change to Section 3 adds circumstances under which a horse may be entered to run in two (2) races on the same day. The changes to Section 5 prevent more than two horses having common ties through ownership to be entered in a purse race and allows for up to two horses having common ties through training to start in a purse race to the exclusion of a single entry. The changes to Section 11 correct a comma-placement error and allow horses scratching from the also-eligible list to maintain any preference to which it may have been entitled. The changes to Section 17 amend the timing and procedure for the examination of an entry by the attending veterinarian.</w:t>
      </w:r>
    </w:p>
    <w:p>
      <w:pPr>
        <w:pStyle w:val="kar_normal"/>
        <w:ind w:left="576"/>
      </w:pPr>
      <w:r>
        <w:t xml:space="preserve">(b) The necessity of the amendment to this administrative regulation:</w:t>
      </w:r>
    </w:p>
    <w:p>
      <w:pPr>
        <w:pStyle w:val="kar_normal"/>
        <w:ind w:left="720"/>
      </w:pPr>
      <w:r>
        <w:t xml:space="preserve">The amendment is necessary to allow horses to enter two (2) races to be run on the same day and making it more likely the horse will be able to run in one of the races; prevents more than two horses having common ties through ownership to be entered in a purse race and gives trainers the ability to enter up to two horses in a purse race to the exclusion of a single entry and without having to prefer one over the other; corrects a comma-placement error and allows horses scratching from the also-eligible list to maintain their preference; and changes the regulation related to the examination by the attending veterinarian to coincide with the modern practice of taking entries to races earlier and assists with the ability of the KHRGC to provide efficient and effective oversight.</w:t>
      </w:r>
    </w:p>
    <w:p>
      <w:pPr>
        <w:pStyle w:val="kar_normal"/>
        <w:ind w:left="576"/>
      </w:pPr>
      <w:r>
        <w:t xml:space="preserve">(c) How the amendment conforms to the content of the authorizing statutes:</w:t>
      </w:r>
    </w:p>
    <w:p>
      <w:pPr>
        <w:pStyle w:val="kar_normal"/>
        <w:ind w:left="720"/>
      </w:pPr>
      <w:r>
        <w:t xml:space="preserve">The Kentucky Horse Racing and Gaming Corporation is vested with forceful control of horse racing in the Commonwealth. KRS 230.215(2)(a). The KHRGC is vested with jurisdiction and supervision over all live horse racing and pari-mutuel wagering in the state and over all associations and persons on association grounds. KSR 230.260(1). The KHRGC shall have full authority to prescribe necessary and reasonable administrative regulations under which horse racing at a horse race meeting shall be conducted in Kentucky. KRS 230.260(8). These amendments provide necessary and practical changes to the regulations related to flat and steeplechase racing entries, subscriptions, and declarations of horses in order to race.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making necessary and practical changes to the regulation related to flat and steeplechase racing entries, subscriptions, and declarations of horses in order to race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most directly impacts the six licensed associations conducting flat racing in Kentucky and the horses and horsemen competing at those race meetings.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Racing offices at the impacted licensed associations will need to be aware of the amendments and potentially make changes to their internal practices and procedures. Horsemen competing at the racetracks will need to do the same to properly enter horses to race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required cost is anticipated.</w:t>
      </w:r>
    </w:p>
    <w:p>
      <w:pPr>
        <w:pStyle w:val="kar_normal"/>
        <w:ind w:left="576"/>
      </w:pPr>
      <w:r>
        <w:t xml:space="preserve">(c) As a result of compliance, what benefits will accrue to the entities identified in question (3):</w:t>
      </w:r>
    </w:p>
    <w:p>
      <w:pPr>
        <w:pStyle w:val="kar_normal"/>
        <w:ind w:left="720"/>
      </w:pPr>
      <w:r>
        <w:t xml:space="preserve">Trainers will have more flexibility in entering horses to race in Kentucky and owners of horses scratching from the also-eligible list will benefit by their horses maintaining their preferences.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anticipated additional cost to implement the amendments to this administrative regulation.</w:t>
      </w:r>
    </w:p>
    <w:p>
      <w:pPr>
        <w:pStyle w:val="kar_normal"/>
        <w:ind w:left="576"/>
      </w:pPr>
      <w:r>
        <w:t xml:space="preserve">(b) On a continuing basis:</w:t>
      </w:r>
    </w:p>
    <w:p>
      <w:pPr>
        <w:pStyle w:val="kar_normal"/>
        <w:ind w:left="720"/>
      </w:pPr>
      <w:r>
        <w:t xml:space="preserve">There is no anticipated continuing cost to administer the amendments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needed to implement and enforce the amendments to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the amendments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amendments to this administrative regulation do not establish or increase any fees.</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and individuals in the same manner.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statutory authority for this administrative regulation is KRS 230.215(2)(a), KRS 230.260(1), and KRS 230.260(8).</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Horse Racing and Gaming Corporation.</w:t>
      </w:r>
    </w:p>
    <w:p>
      <w:pPr>
        <w:pStyle w:val="kar_normal"/>
        <w:ind w:left="576"/>
      </w:pPr>
      <w:r>
        <w:t xml:space="preserve">(a) Estimate the following for the first year:</w:t>
      </w:r>
    </w:p>
    <w:p>
      <w:pPr>
        <w:pStyle w:val="kar_normal"/>
        <w:ind w:left="864"/>
      </w:pPr>
      <w:r>
        <w:t xml:space="preserve">Expenditures:</w:t>
      </w:r>
      <w:r>
        <w:t xml:space="preserve"> No additional expenditures are anticipated.</w:t>
      </w:r>
    </w:p>
    <w:p>
      <w:pPr>
        <w:pStyle w:val="kar_normal"/>
        <w:ind w:left="864"/>
      </w:pPr>
      <w:r>
        <w:t xml:space="preserve">Revenues:</w:t>
      </w:r>
      <w:r>
        <w:t xml:space="preserve"> No additional revenue is anticipated.</w:t>
      </w:r>
    </w:p>
    <w:p>
      <w:pPr>
        <w:pStyle w:val="kar_normal"/>
        <w:ind w:left="864"/>
      </w:pPr>
      <w:r>
        <w:t xml:space="preserve">Cost Savings:</w:t>
      </w:r>
      <w:r>
        <w:t xml:space="preserve"> No cost savings are anticipated.</w:t>
      </w:r>
    </w:p>
    <w:p>
      <w:pPr>
        <w:pStyle w:val="kar_normal"/>
        <w:ind w:left="576"/>
      </w:pPr>
      <w:r>
        <w:t xml:space="preserve">(b) How will expenditures, revenues, or cost savings differ in subsequent years?</w:t>
      </w:r>
    </w:p>
    <w:p>
      <w:pPr>
        <w:pStyle w:val="kar_normal"/>
        <w:ind w:left="720"/>
      </w:pPr>
      <w:r>
        <w:t xml:space="preserve">No changes are anticipated in subsequent years.</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Regulated entities impacted by this regulation include the six licensed associations conducting flat racing in Kentucky and the horsemen competing at those racetracks.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changes are anticipated.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little to no fiscal impact as a result of the amendments to this administrative regulation.</w:t>
      </w:r>
    </w:p>
    <w:p>
      <w:pPr>
        <w:pStyle w:val="kar_normal"/>
        <w:ind w:left="576"/>
      </w:pPr>
      <w:r>
        <w:t xml:space="preserve">(b) Methodology and resources used to determine the fiscal impact:</w:t>
      </w:r>
    </w:p>
    <w:p>
      <w:pPr>
        <w:pStyle w:val="kar_normal"/>
        <w:ind w:left="720"/>
      </w:pPr>
      <w:r>
        <w:t xml:space="preserve">The amendments related to the requirements and procedures for flat and steeplechase racing entries, subscriptions, and declarations, and may have an impact on procedures and practices, but will not have a monetary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These amendments are not expected to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amendments may result in changes to procedures and practices, but they will not be difficult to implement and will not have a monetary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3795e29081464a" /><Relationship Type="http://schemas.openxmlformats.org/officeDocument/2006/relationships/settings" Target="/word/settings.xml" Id="R7f27994c69814307" /></Relationships>
</file>