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1abb98e06847c3" /></Relationships>
</file>

<file path=word/document.xml><?xml version="1.0" encoding="utf-8"?>
<w:document xmlns:w="http://schemas.openxmlformats.org/wordprocessingml/2006/main">
  <w:body>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325.261(4)</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permit the board to, by administrative regulation, adopt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where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shall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 specifies the college course work completed, degrees awarded, the date the degree was awarded, and 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"Testing window" means the two (2) months out of each three (3) month period during a calendar year when an exam candidate may sit for the Uniform CPA Examination.</w:t>
      </w:r>
    </w:p>
    <w:p>
      <w:pPr>
        <w:pStyle w:val="kar_subsection"/>
      </w:pPr>
      <w:r>
        <w:t xml:space="preserve">(13)</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Sections. The board has adopted the Uniform CPA Examination prepared by the AICPA as the examination every candidate seeking to receive a license shall sit for and obtain a passing grade. The sections included on this examination shall be:</w:t>
      </w:r>
    </w:p>
    <w:p>
      <w:pPr>
        <w:pStyle w:val="kar_subsection"/>
      </w:pPr>
      <w:r>
        <w:t xml:space="preserve">(1)</w:t>
      </w:r>
      <w:r>
        <w:t xml:space="preserve"> </w:t>
      </w:r>
      <w:r>
        <w:t xml:space="preserve">Auditing and Attestation;</w:t>
      </w:r>
    </w:p>
    <w:p>
      <w:pPr>
        <w:pStyle w:val="kar_subsection"/>
      </w:pPr>
      <w:r>
        <w:t xml:space="preserve">(2)</w:t>
      </w:r>
      <w:r>
        <w:t xml:space="preserve"> </w:t>
      </w:r>
      <w:r>
        <w:t xml:space="preserve">Financial Accounting and Reporting;</w:t>
      </w:r>
    </w:p>
    <w:p>
      <w:pPr>
        <w:pStyle w:val="kar_subsection"/>
      </w:pPr>
      <w:r>
        <w:t xml:space="preserve">(3)</w:t>
      </w:r>
      <w:r>
        <w:t xml:space="preserve"> </w:t>
      </w:r>
      <w:r>
        <w:t xml:space="preserve">Regulation; and</w:t>
      </w:r>
    </w:p>
    <w:p>
      <w:pPr>
        <w:pStyle w:val="kar_subsection"/>
      </w:pPr>
      <w:r>
        <w:t xml:space="preserve">(4)</w:t>
      </w:r>
      <w:r>
        <w:t xml:space="preserve"> </w:t>
      </w:r>
      <w:r>
        <w:t xml:space="preserve">Business Environment and Concepts.</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 An exam candidate may retain a passing score on any section even though the candidate may have sat for and failed other sections of the examination at the same sitting.</w:t>
      </w:r>
    </w:p>
    <w:p>
      <w:pPr>
        <w:pStyle w:val="kar_subsection"/>
      </w:pPr>
      <w:r>
        <w:t xml:space="preserve">(3)</w:t>
      </w:r>
      <w:r>
        <w:t xml:space="preserve"> </w:t>
      </w:r>
      <w:r>
        <w:t xml:space="preserve">Subject to the exception contained in subsection (4) of this section, an exam candidate may sit for one (1) or any number of the four (4) sections of the examination at a time during a testing window.</w:t>
      </w:r>
    </w:p>
    <w:p>
      <w:pPr>
        <w:pStyle w:val="kar_subsection"/>
      </w:pPr>
      <w:r>
        <w:t xml:space="preserve">(4)</w:t>
      </w:r>
      <w:r>
        <w:t xml:space="preserve"> </w:t>
      </w:r>
      <w:r>
        <w:t xml:space="preserve">An exam candidate shall not sit more than once for the same section of the examination during a testing window. Beginning July 1, 2020 an exam candidate shall not sit for the same section of the examination until after they receive a score for that section.</w:t>
      </w:r>
    </w:p>
    <w:p>
      <w:pPr>
        <w:pStyle w:val="kar_subsection"/>
      </w:pPr>
      <w:r>
        <w:t xml:space="preserve">(5)</w:t>
      </w:r>
      <w:r>
        <w:t xml:space="preserve"> </w:t>
      </w:r>
      <w:r>
        <w:t xml:space="preserve">When an exam candidate initially receives a passing score on a section of the Uniform CPA Examination, the candidate shall have eighteen (18) months following the last day of the month of the administration of that examination section to obtain a passing score on the remaining sections of the examination.</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(6)</w:t>
      </w:r>
      <w:r>
        <w:t xml:space="preserve"> </w:t>
      </w:r>
      <w:r>
        <w:t xml:space="preserve">One (1) request to extend the time to retain passing scores beyond the time restrictions contained in this section shall be granted to a candidate who has sat for one (1) section of the exam during the same testing window when the passing score was to expire. The time extension shall expire on the last day of the testing window that immediately follows the month in which the score was scheduled to expire. Beginning July 1, 2020, an extension shall expire the last day of the calendar quarter from the date the candidate sat for the exam section.</w:t>
      </w:r>
    </w:p>
    <w:p>
      <w:pPr>
        <w:pStyle w:val="kar_section"/>
      </w:pPr>
      <w:r>
        <w:t xml:space="preserve">Section 4.</w:t>
      </w:r>
      <w:r>
        <w:t xml:space="preserve"> </w:t>
      </w:r>
      <w:r>
        <w:t xml:space="preserve">Beginning July 1, 2020, testing windows as defined in Section 1(12) of this administrative regulation shall cease to exist.</w:t>
      </w:r>
    </w:p>
    <w:p>
      <w:pPr>
        <w:pStyle w:val="kar_section"/>
      </w:pPr>
      <w:r>
        <w:t xml:space="preserve">Section 5.</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whether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whether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whether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described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p>
    <w:p>
      <w:pPr>
        <w:pStyle w:val="kar_paragraph"/>
      </w:pPr>
      <w:r>
        <w:t xml:space="preserve">(a)</w:t>
      </w:r>
      <w:r>
        <w:t xml:space="preserve"> </w:t>
      </w:r>
      <w:r>
        <w:t xml:space="preserve">Effective January 1, 2015, 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Effective January 1, 2015, 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6.</w:t>
      </w:r>
      <w:r>
        <w:t xml:space="preserve"> </w:t>
      </w:r>
    </w:p>
    <w:p>
      <w:pPr>
        <w:pStyle w:val="kar_subsection"/>
      </w:pPr>
      <w:r>
        <w:t xml:space="preserve">(1)</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its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described in Section 10 of this administrative regulation.</w:t>
      </w:r>
    </w:p>
    <w:p>
      <w:pPr>
        <w:pStyle w:val="kar_subsection"/>
      </w:pPr>
      <w:r>
        <w:t xml:space="preserve">(5)</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7.</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8.</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9.</w:t>
      </w:r>
      <w:r>
        <w:t xml:space="preserve"> </w:t>
      </w:r>
      <w:r>
        <w:t xml:space="preserve">An exam applicant shall immediately notify the board of a change in his or her mailing address.</w:t>
      </w:r>
    </w:p>
    <w:p>
      <w:pPr>
        <w:pStyle w:val="kar_section"/>
      </w:pPr>
      <w:r>
        <w:t xml:space="preserve">Section 10.</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whether the applicant has been convicted, plead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permitted to sit for reexam.</w:t>
      </w:r>
    </w:p>
    <w:p>
      <w:pPr>
        <w:pStyle w:val="kar_subsection"/>
      </w:pPr>
      <w:r>
        <w:t xml:space="preserve">(7)</w:t>
      </w:r>
      <w:r>
        <w:t xml:space="preserve"> </w:t>
      </w:r>
      <w:r>
        <w:t xml:space="preserve">The procedures and policies in Section 6 of this administrative regulation shall be applicable to a reexam application.</w:t>
      </w:r>
    </w:p>
    <w:p>
      <w:pPr>
        <w:pStyle w:val="kar_subsection"/>
      </w:pPr>
      <w:r>
        <w:t xml:space="preserve">(8)</w:t>
      </w:r>
      <w:r>
        <w:t xml:space="preserve"> </w:t>
      </w:r>
      <w:r>
        <w:t xml:space="preserve">The reexam candidate shall comply with the requirements of Sections 7, 8, and 9 of this administrative regulation.</w:t>
      </w:r>
    </w:p>
    <w:p>
      <w:pPr>
        <w:pStyle w:val="kar_section"/>
      </w:pPr>
      <w:r>
        <w:t xml:space="preserve">Section 11.</w:t>
      </w:r>
      <w:r>
        <w:t xml:space="preserve"> </w:t>
      </w:r>
      <w:r>
        <w:t xml:space="preserve">Examination grades received from NASBA shall be:</w:t>
      </w:r>
    </w:p>
    <w:p>
      <w:pPr>
        <w:pStyle w:val="kar_subsection"/>
      </w:pPr>
      <w:r>
        <w:t xml:space="preserve">(1)</w:t>
      </w:r>
      <w:r>
        <w:t xml:space="preserve"> </w:t>
      </w:r>
      <w:r>
        <w:t xml:space="preserve">Posted on the board's Web site; and</w:t>
      </w:r>
    </w:p>
    <w:p>
      <w:pPr>
        <w:pStyle w:val="kar_subsection"/>
      </w:pPr>
      <w:r>
        <w:t xml:space="preserve">(2)</w:t>
      </w:r>
      <w:r>
        <w:t xml:space="preserve"> </w:t>
      </w:r>
      <w:r>
        <w:t xml:space="preserve">A copy mailed to each affected candidate.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507; Am. 844; eff. 10-15-2003; 31 Ky.R. 1529; 1782; eff. 5-26-2005; 32 Ky.R. 2063; eff. 9-1-2006; TAm eff. 10-27-2009; 41 Ky.R. 548; 1036; eff. 12-5-2014; 46 Ky.R. 1004, 1802; eff. 3-3-2020.)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41554731f462c" /><Relationship Type="http://schemas.openxmlformats.org/officeDocument/2006/relationships/settings" Target="/word/settings.xml" Id="Rbcd8813552d4469a" /></Relationships>
</file>