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cb3e306f7b4f8e" /></Relationships>
</file>

<file path=word/document.xml><?xml version="1.0" encoding="utf-8"?>
<w:document xmlns:w="http://schemas.openxmlformats.org/wordprocessingml/2006/main">
  <w:body>
    <w:p>
      <w:pPr>
        <w:pStyle w:val="kar_citation"/>
      </w:pPr>
      <w:r>
        <w:t>201 KAR 39:030.</w:t>
      </w:r>
      <w:r>
        <w:t xml:space="preserve"> </w:t>
      </w:r>
      <w:r>
        <w:t xml:space="preserve">Application; qualifications for full licensure; and certification levels.</w:t>
      </w:r>
    </w:p>
    <w:p>
      <w:pPr>
        <w:pStyle w:val="kar_markup_metadata"/>
      </w:pPr>
      <w:r>
        <w:t xml:space="preserve">RELATES TO: </w:t>
      </w:r>
      <w:r>
        <w:t xml:space="preserve">KRS 309.304(1), 309.312(1)(b)</w:t>
      </w:r>
    </w:p>
    <w:p>
      <w:pPr>
        <w:pStyle w:val="kar_markup_metadata"/>
      </w:pPr>
      <w:r>
        <w:t xml:space="preserve">STATUTORY AUTHORITY: </w:t>
      </w:r>
      <w:r>
        <w:t xml:space="preserve">KRS 309.304(3), 309.312(1)(b)</w:t>
      </w:r>
    </w:p>
    <w:p>
      <w:pPr>
        <w:pStyle w:val="kar_markup_metadata"/>
      </w:pPr>
      <w:r>
        <w:t xml:space="preserve">NECESSITY, FUNCTION, AND CONFORMITY: </w:t>
      </w:r>
      <w:r>
        <w:t xml:space="preserve">KRS 309.304(3) and 309.312(1)(b) require the Kentucky Board of Interpreters for the Deaf and Hard of Hearing to promulgate an administrative regulation establishing the requirements for an applicant for licensure as an interpreter for the deaf and hard of hearing. This administrative regulation establishes these requirements.</w:t>
      </w:r>
    </w:p>
    <w:p>
      <w:pPr>
        <w:pStyle w:val="kar_section"/>
      </w:pPr>
      <w:r>
        <w:t xml:space="preserve">Section 1.</w:t>
      </w:r>
      <w:r>
        <w:t xml:space="preserve"> </w:t>
      </w:r>
      <w:r>
        <w:t xml:space="preserve">Application. Each applicant for a full license shall:</w:t>
      </w:r>
    </w:p>
    <w:p>
      <w:pPr>
        <w:pStyle w:val="kar_subsection"/>
      </w:pPr>
      <w:r>
        <w:t xml:space="preserve">(1)</w:t>
      </w:r>
      <w:r>
        <w:t xml:space="preserve"> </w:t>
      </w:r>
      <w:r>
        <w:t xml:space="preserve">Submit a completed Application for Full Licensure form to the board;</w:t>
      </w:r>
    </w:p>
    <w:p>
      <w:pPr>
        <w:pStyle w:val="kar_subsection"/>
      </w:pPr>
      <w:r>
        <w:t xml:space="preserve">(2)</w:t>
      </w:r>
      <w:r>
        <w:t xml:space="preserve"> </w:t>
      </w:r>
      <w:r>
        <w:t xml:space="preserve">Pay the application and license fee as established in 201 KAR 39:040; and</w:t>
      </w:r>
    </w:p>
    <w:p>
      <w:pPr>
        <w:pStyle w:val="kar_subsection"/>
      </w:pPr>
      <w:r>
        <w:t xml:space="preserve">(3)</w:t>
      </w:r>
      <w:r>
        <w:t xml:space="preserve"> </w:t>
      </w:r>
      <w:r>
        <w:t xml:space="preserve">Submit proof of valid certification from one (1) of the following nationally recognized organizations:</w:t>
      </w:r>
    </w:p>
    <w:p>
      <w:pPr>
        <w:pStyle w:val="kar_paragraph"/>
      </w:pPr>
      <w:r>
        <w:t xml:space="preserve">(a)</w:t>
      </w:r>
      <w:r>
        <w:t xml:space="preserve"> </w:t>
      </w:r>
      <w:r>
        <w:t xml:space="preserve">At a level recognized by RID, with the exception of NAD III;</w:t>
      </w:r>
    </w:p>
    <w:p>
      <w:pPr>
        <w:pStyle w:val="kar_paragraph"/>
      </w:pPr>
      <w:r>
        <w:t xml:space="preserve">(b)</w:t>
      </w:r>
      <w:r>
        <w:t xml:space="preserve"> </w:t>
      </w:r>
      <w:r>
        <w:t xml:space="preserve">TECUnit;</w:t>
      </w:r>
    </w:p>
    <w:p>
      <w:pPr>
        <w:pStyle w:val="kar_paragraph"/>
      </w:pPr>
      <w:r>
        <w:t xml:space="preserve">(c)</w:t>
      </w:r>
      <w:r>
        <w:t xml:space="preserve"> </w:t>
      </w:r>
      <w:r>
        <w:t xml:space="preserve">BEI Advanced or better achieved within three (3) years of application;</w:t>
      </w:r>
    </w:p>
    <w:p>
      <w:pPr>
        <w:pStyle w:val="kar_paragraph"/>
      </w:pPr>
      <w:r>
        <w:t xml:space="preserve">(d)</w:t>
      </w:r>
      <w:r>
        <w:t xml:space="preserve"> </w:t>
      </w:r>
      <w:r>
        <w:t xml:space="preserve">Another current certification from a nationally recognized organization at the requisite level for sign language interpreters, oral interpreters, or cued speech transliterators as determined by the board; or</w:t>
      </w:r>
    </w:p>
    <w:p>
      <w:pPr>
        <w:pStyle w:val="kar_paragraph"/>
      </w:pPr>
      <w:r>
        <w:t xml:space="preserve">(e)</w:t>
      </w:r>
      <w:r>
        <w:t xml:space="preserve"> </w:t>
      </w:r>
      <w:r>
        <w:t xml:space="preserve">Other certifications established in 201 KAR 39:080, if applying for licensure via reciprocity.</w:t>
      </w:r>
    </w:p>
    <w:p>
      <w:pPr>
        <w:pStyle w:val="kar_section"/>
      </w:pPr>
      <w:r>
        <w:t xml:space="preserve">Section 2.</w:t>
      </w:r>
      <w:r>
        <w:t xml:space="preserve"> </w:t>
      </w:r>
      <w:r>
        <w:t xml:space="preserve">Appeal of Denial of an Application for Licensure.</w:t>
      </w:r>
    </w:p>
    <w:p>
      <w:pPr>
        <w:pStyle w:val="kar_subsection"/>
      </w:pPr>
      <w:r>
        <w:t xml:space="preserve">(1)</w:t>
      </w:r>
      <w:r>
        <w:t xml:space="preserve"> </w:t>
      </w:r>
      <w:r>
        <w:t xml:space="preserve">If an Application for Full Licensure is denied, the applicant shall have the right to appeal that preliminary determination.</w:t>
      </w:r>
    </w:p>
    <w:p>
      <w:pPr>
        <w:pStyle w:val="kar_subsection"/>
      </w:pPr>
      <w:r>
        <w:t xml:space="preserve">(2)</w:t>
      </w:r>
      <w:r>
        <w:t xml:space="preserve"> </w:t>
      </w:r>
      <w:r>
        <w:t xml:space="preserve">An appeal shall be:</w:t>
      </w:r>
    </w:p>
    <w:p>
      <w:pPr>
        <w:pStyle w:val="kar_paragraph"/>
      </w:pPr>
      <w:r>
        <w:t xml:space="preserve">(a)</w:t>
      </w:r>
      <w:r>
        <w:t xml:space="preserve"> </w:t>
      </w:r>
      <w:r>
        <w:t xml:space="preserve">Submitted to the board in writing by certified mail; and</w:t>
      </w:r>
    </w:p>
    <w:p>
      <w:pPr>
        <w:pStyle w:val="kar_paragraph"/>
      </w:pPr>
      <w:r>
        <w:t xml:space="preserve">(b)</w:t>
      </w:r>
      <w:r>
        <w:t xml:space="preserve"> </w:t>
      </w:r>
      <w:r>
        <w:t xml:space="preserve">Received by the board within thirty (30) days after the date the applicant receives the notice of preliminary denial by certified mail or by email message delivered to the addresses stated on the Application for Licensure.</w:t>
      </w:r>
    </w:p>
    <w:p>
      <w:pPr>
        <w:pStyle w:val="kar_subsection"/>
      </w:pPr>
      <w:r>
        <w:t xml:space="preserve">(3)</w:t>
      </w:r>
      <w:r>
        <w:t xml:space="preserve"> </w:t>
      </w:r>
      <w:r>
        <w:t xml:space="preserve">The appeal of a preliminary denial of an Application for Licensure shall be held in accordance with the provisions of KRS Chapter 13B.</w:t>
      </w:r>
    </w:p>
    <w:p>
      <w:pPr>
        <w:pStyle w:val="kar_section"/>
      </w:pPr>
      <w:r>
        <w:t xml:space="preserve">Section 3.</w:t>
      </w:r>
      <w:r>
        <w:t xml:space="preserve"> </w:t>
      </w:r>
      <w:r>
        <w:t xml:space="preserve">Certification Level Requirements for EIPA. Individuals who are fully licensed with an EIPA level 4.0 or 3.5 and passage of the EIPA written on or before January 1, 2025, shall remain entitled to full licensure if they continue to renew the license annually in compliance with all other licensure requirements. Failure to annually renew a license shall result in an applicant for reinstatement being required to achieve a nationally recognized certification required by Section 1 of this administrative regulation.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"Application for Full Licensure", DPL-KBI-001, October 2024, is incorporated by reference.</w:t>
      </w:r>
    </w:p>
    <w:p>
      <w:pPr>
        <w:pStyle w:val="kar_subsection"/>
      </w:pPr>
      <w:r>
        <w:t xml:space="preserve">(2)</w:t>
      </w:r>
      <w:r>
        <w:t xml:space="preserve"> </w:t>
      </w:r>
      <w:r>
        <w:t xml:space="preserve">This material may be inspected, copied, or obtained, subject to applicable copyright law, at the Department of Professional Licensing, 500 Mero Street, Frankfort, Kentucky 40601, Monday through Friday, 8:00 a.m. to 4:30 p.m. and on the board's Web site at www.kbi.ky.gov.</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1258; Am. 1606; eff. 1-14-2002; 38 Ky.R. 1641; 1845; eff. 6-1-2012; 39 Ky.R. 1759; 2012; eff. 5-3-2013; 42 Ky.R. 844; eff. 12-4-2015; 44 Ky.R.498; eff. 8-4-2017; 51 Ky.R. 92, 944, 1097;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4c0e1282394f74" /><Relationship Type="http://schemas.openxmlformats.org/officeDocument/2006/relationships/settings" Target="/word/settings.xml" Id="Rf64543512f234529" /></Relationships>
</file>