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05a800fb8c4fc7" /></Relationships>
</file>

<file path=word/document.xml><?xml version="1.0" encoding="utf-8"?>
<w:document xmlns:w="http://schemas.openxmlformats.org/wordprocessingml/2006/main">
  <w:body>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shall be incomplete and shall be rejected by the cabinet unless:</w:t>
      </w:r>
    </w:p>
    <w:p>
      <w:pPr>
        <w:pStyle w:val="kar_paragraph"/>
      </w:pPr>
      <w:r>
        <w:t xml:space="preserve">(a)</w:t>
      </w:r>
      <w:r>
        <w:t xml:space="preserve"> </w:t>
      </w:r>
      <w:r>
        <w:t xml:space="preserve">The payment of the applicable fee established in Section 2 or Section 4 of this administrative regulation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shall be nonrefundable except as established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shall be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if the following criteria is met:</w:t>
      </w:r>
    </w:p>
    <w:p>
      <w:pPr>
        <w:pStyle w:val="kar_paragraph"/>
      </w:pPr>
      <w:r>
        <w:t xml:space="preserve">(a)</w:t>
      </w:r>
      <w:r>
        <w:t xml:space="preserve"> </w:t>
      </w:r>
      <w:r>
        <w:t xml:space="preserve">Each application shall contain a separate and distinct physical address where the applicant proposes to conduct cannabis business activities;</w:t>
      </w:r>
    </w:p>
    <w:p>
      <w:pPr>
        <w:pStyle w:val="kar_paragraph"/>
      </w:pPr>
      <w:r>
        <w:t xml:space="preserve">(b)</w:t>
      </w:r>
      <w:r>
        <w:t xml:space="preserve"> </w:t>
      </w:r>
      <w:r>
        <w:t xml:space="preserve">Each application shall contain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In the initial license application, the applicant shall submit:</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The business entity formation documents such as articles of incorporation, articles of organization, or bylaws;</w:t>
      </w:r>
    </w:p>
    <w:p>
      <w:pPr>
        <w:pStyle w:val="kar_paragraph"/>
      </w:pPr>
      <w:r>
        <w:t xml:space="preserve">(d)</w:t>
      </w:r>
      <w:r>
        <w:t xml:space="preserve"> </w:t>
      </w:r>
      <w:r>
        <w:t xml:space="preserve">The 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A 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or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 is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 applicant shall use the hearing request form prescribed by the cabinet and made available through the website for the Kentucky Medical Cannabis Program, https://kymedcan.ky.gov. An applicant shall submit the hearing request form to the cabinet in the manner prescribed by the form's instructions.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shall be refundable if the renewal application is denied. The annual renewal fees shall be: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$25,000;</w:t>
      </w:r>
    </w:p>
    <w:p>
      <w:pPr>
        <w:pStyle w:val="kar_subsection"/>
      </w:pPr>
      <w:r>
        <w:t xml:space="preserve">(6)</w:t>
      </w:r>
      <w:r>
        <w:t xml:space="preserve"> </w:t>
      </w:r>
      <w:r>
        <w:t xml:space="preserve">Producer: $25,000 plus the applicable cultivator tier annual renewal fee;</w:t>
      </w:r>
    </w:p>
    <w:p>
      <w:pPr>
        <w:pStyle w:val="kar_subsection"/>
      </w:pPr>
      <w:r>
        <w:t xml:space="preserve">(7)</w:t>
      </w:r>
      <w:r>
        <w:t xml:space="preserve"> </w:t>
      </w:r>
      <w:r>
        <w:t xml:space="preserve">Dispensary: $30,000;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shall be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shall be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shall be that:</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established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 is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 applicant shall use the hearing request form prescribed by the cabinet and made available through the website for the Kentucky Medical Cannabis Program, https://kymedcan.ky.gov. An applicant shall submit the hearing request form to the cabinet in the manner prescribed by the form's instructions. Any hearing resulting from the applicant's written request shall be conducted in accordance with KRS Chapter 13B.</w:t>
      </w:r>
    </w:p>
    <w:p>
      <w:pPr>
        <w:pStyle w:val="kar_section"/>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by electronic mail to kymedcanreporting@ky.gov within twenty-four (24) hours of discovery. Failure to timely notify the cabinet of a change or newly discovered facts or circumstances may result in denial of the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2550; 51 Ky.R. 696, 922, 1124;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00315363149d9" /><Relationship Type="http://schemas.openxmlformats.org/officeDocument/2006/relationships/settings" Target="/word/settings.xml" Id="R86c35b1eebe147b1" /></Relationships>
</file>