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0607a1db5c44d8" /></Relationships>
</file>

<file path=word/document.xml><?xml version="1.0" encoding="utf-8"?>
<w:document xmlns:w="http://schemas.openxmlformats.org/wordprocessingml/2006/main">
  <w:body>
    <w:p>
      <w:pPr>
        <w:pStyle w:val="kar_citation"/>
      </w:pPr>
      <w:r>
        <w:t>201 KAR 17:120.</w:t>
      </w:r>
      <w:r>
        <w:t xml:space="preserve"> </w:t>
      </w:r>
      <w:r>
        <w:t xml:space="preserve">Audiology and Speech-Language Pathology Interstate Compact.</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October 7,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October 7, 2023,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April 17, 2023; and</w:t>
      </w:r>
    </w:p>
    <w:p>
      <w:pPr>
        <w:pStyle w:val="kar_paragraph"/>
      </w:pPr>
      <w:r>
        <w:t xml:space="preserve">(c)</w:t>
      </w:r>
      <w:r>
        <w:t xml:space="preserve"> </w:t>
      </w:r>
      <w:r>
        <w:t xml:space="preserve">Chapter 3 – Rule on Implementation of Criminal Background Check Requirement, adopted October 7,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 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https://aslpcompact.com/commission/commission-governance-documents/.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b3e842ced4009" /><Relationship Type="http://schemas.openxmlformats.org/officeDocument/2006/relationships/settings" Target="/word/settings.xml" Id="Rf49469d6d62a40c6" /></Relationships>
</file>