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2892d1796ba421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January 10, 2024.</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January 10, 2024,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w:t>
      </w:r>
      <w:r>
        <w:t>[</w:t>
      </w:r>
      <w:r>
        <w:rPr>
          <w:strike w:val="true"/>
        </w:rPr>
        <w:t xml:space="preserve"> and</w:t>
      </w:r>
      <w:r>
        <w:t>]</w:t>
      </w:r>
    </w:p>
    <w:p>
      <w:pPr>
        <w:pStyle w:val="kar_paragraph"/>
      </w:pPr>
      <w:r>
        <w:t xml:space="preserve">(c)</w:t>
      </w:r>
      <w:r>
        <w:t xml:space="preserve"> </w:t>
      </w:r>
      <w:r>
        <w:t xml:space="preserve">Chapter 4 – Data System Reporting Requirements, adopted January 10, 2024</w:t>
      </w:r>
      <w:r>
        <w:rPr>
          <w:u w:val="single"/>
        </w:rPr>
        <w:t xml:space="preserve">;</w:t>
      </w:r>
      <w:r>
        <w:t>[</w:t>
      </w:r>
      <w:r>
        <w:rPr>
          <w:strike w:val="true"/>
        </w:rPr>
        <w:t xml:space="preserve">.</w:t>
      </w:r>
      <w:r>
        <w:t>]</w:t>
      </w:r>
    </w:p>
    <w:p>
      <w:pPr>
        <w:pStyle w:val="kar_paragraph"/>
      </w:pPr>
      <w:r>
        <w:rPr>
          <w:u w:val="single"/>
        </w:rPr>
        <w:t xml:space="preserve">(d)</w:t>
      </w:r>
      <w:r>
        <w:t xml:space="preserve"> </w:t>
      </w:r>
      <w:r>
        <w:rPr>
          <w:u w:val="single"/>
        </w:rPr>
        <w:t xml:space="preserve">Chapter 5 – Rulemaking on Legacy Eligibility for Privilege to Practice, adopted October 8, 2024; and</w:t>
      </w:r>
    </w:p>
    <w:p>
      <w:pPr>
        <w:pStyle w:val="kar_paragraph"/>
      </w:pPr>
      <w:r>
        <w:rPr>
          <w:u w:val="single"/>
        </w:rPr>
        <w:t xml:space="preserve">(e)</w:t>
      </w:r>
      <w:r>
        <w:t xml:space="preserve"> </w:t>
      </w:r>
      <w:r>
        <w:rPr>
          <w:u w:val="single"/>
        </w:rPr>
        <w:t xml:space="preserve">Chapter 6. Rulemaking on Implementing Criminal Background Checks, adopted October 8, 2024.</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2 SC 32, 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pPr>
      <w:r>
        <w:t xml:space="preserve">(b)</w:t>
      </w:r>
      <w:r>
        <w:t xml:space="preserve"> </w:t>
      </w:r>
      <w:r>
        <w:t xml:space="preserve">https://counselingcompact.org/compact-commission/rulemaking/.</w:t>
      </w:r>
    </w:p>
    <w:p>
      <w:pPr>
        <w:pStyle w:val="kar_signature"/>
      </w:pPr>
      <w:r>
        <w:t xml:space="preserve">DR. ANDREA BROOKS, Board Chair</w:t>
      </w:r>
    </w:p>
    <w:p>
      <w:pPr>
        <w:pStyle w:val="kar_normal"/>
      </w:pPr>
      <w:r>
        <w:t xml:space="preserve"/>
      </w:r>
    </w:p>
    <w:p>
      <w:pPr>
        <w:pStyle w:val="kar_approved_by"/>
      </w:pPr>
      <w:r>
        <w:t xml:space="preserve">APPROVED BY AGENCY: November 20, 2024</w:t>
      </w:r>
    </w:p>
    <w:p>
      <w:pPr>
        <w:pStyle w:val="kar_filed"/>
      </w:pPr>
      <w:r>
        <w:t xml:space="preserve">FILED WITH LRC: November 26, 2024 at 12:02 p.m.</w:t>
      </w:r>
    </w:p>
    <w:p>
      <w:pPr>
        <w:pStyle w:val="kar_normal"/>
      </w:pPr>
      <w:r>
        <w:t xml:space="preserve"/>
      </w:r>
    </w:p>
    <w:p>
      <w:pPr>
        <w:pStyle w:val="kar_comment_period"/>
      </w:pPr>
      <w:r>
        <w:t xml:space="preserve">PUBLIC HEARING AND PUBLIC COMMENT PERIOD: A public hearing on this administrative regulation shall be held on February 25, 2025, at 2:00 P.M. Eastern Time, at the Mayo-Underwood Building, 500 Mero Street, Frankfort, Kentucky in PPC Conference Room 127CW.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2025. Send written notification of intent to be heard at the public hearing or written comments on the proposed administrative regulation to https://ppc.ky.gov/reg_comment.aspx or the contact person.</w:t>
      </w:r>
    </w:p>
    <w:p>
      <w:pPr>
        <w:pStyle w:val="kar_contact_person"/>
      </w:pPr>
      <w:r>
        <w:t xml:space="preserve">CONTACT PERSON: Sara Boswell Janes, Title: Staff Attorney III</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335.515, 335.560. Interstate compacts are specifically authorized under the federal constitution (Article 1, Section 10, Clause 3- the Compacts Clause) and take precedence over any conflicting state law pursuant to the Compacts Clause and the Contracts Clause, U.S. Constitution, Article 1, Section 10, Clause 1.</w:t>
      </w:r>
    </w:p>
    <w:p>
      <w:pPr>
        <w:pStyle w:val="kar_normal"/>
        <w:ind w:left="288"/>
      </w:pPr>
      <w:r>
        <w:t xml:space="preserve">(2) Identify the promulgating agency and any other affected state units, parts, or divisions:</w:t>
      </w:r>
    </w:p>
    <w:p>
      <w:pPr>
        <w:pStyle w:val="kar_normal"/>
        <w:ind w:left="432"/>
      </w:pPr>
      <w:r>
        <w:t xml:space="preserve">the Kentucky Board of Licensed Professional Counselors is the promulgating agency and the only affected state unit, part or division.</w:t>
      </w:r>
    </w:p>
    <w:p>
      <w:pPr>
        <w:pStyle w:val="kar_normal"/>
        <w:ind w:left="576"/>
      </w:pPr>
      <w:r>
        <w:t xml:space="preserve">(a) Estimate the following for the first year:</w:t>
      </w:r>
    </w:p>
    <w:p>
      <w:pPr>
        <w:pStyle w:val="kar_normal"/>
        <w:ind w:left="864"/>
      </w:pPr>
      <w:r>
        <w:t xml:space="preserve">Expenditures:</w:t>
      </w:r>
      <w:r>
        <w:t xml:space="preserve"> The compact will likely become operational in 2025, however, the expenditures needed in the first year are currently indeterminable. There will likely be some state expenditures necessary for data system programming, administering applications for compact privileges within and without the Commonwealth, as well as administering complaint and enforcement actions for those with the privilege to practice in Kentucky, and possibly for Kentucky licensees with the privilege to practice in other states.</w:t>
      </w:r>
    </w:p>
    <w:p>
      <w:pPr>
        <w:pStyle w:val="kar_normal"/>
        <w:ind w:left="864"/>
      </w:pPr>
      <w:r>
        <w:t xml:space="preserve">Revenues:</w:t>
      </w:r>
      <w:r>
        <w:t xml:space="preserve"> If the compact becomes operational in Kentucky during the first year, The Board may require imposition of a fee to cover the cost of administration. However, at this time potential revenues are indeterminable.</w:t>
      </w:r>
    </w:p>
    <w:p>
      <w:pPr>
        <w:pStyle w:val="kar_normal"/>
        <w:ind w:left="864"/>
      </w:pPr>
      <w:r>
        <w:t xml:space="preserve">Cost Savings:</w:t>
      </w:r>
      <w:r>
        <w:t xml:space="preserve"> Indeterminable.</w:t>
      </w:r>
    </w:p>
    <w:p>
      <w:pPr>
        <w:pStyle w:val="kar_normal"/>
        <w:ind w:left="576"/>
      </w:pPr>
      <w:r>
        <w:t xml:space="preserve">(b) How will expenditures, revenues, or cost savings differ in subsequent years?</w:t>
      </w:r>
    </w:p>
    <w:p>
      <w:pPr>
        <w:pStyle w:val="kar_normal"/>
        <w:ind w:left="720"/>
      </w:pPr>
      <w:r>
        <w:t xml:space="preserve">The compact will likely become operational in 2025, however, the expenditures, revenue and cost savings in subsequent years, if any, are currently indeterminable.</w:t>
      </w:r>
    </w:p>
    <w:p>
      <w:pPr>
        <w:pStyle w:val="kar_normal"/>
        <w:ind w:left="288"/>
      </w:pPr>
      <w:r>
        <w:t xml:space="preserve">(3) Identify affected local entities (for example: cities, counties, fire departments, school districts):</w:t>
      </w:r>
    </w:p>
    <w:p>
      <w:pPr>
        <w:pStyle w:val="kar_normal"/>
        <w:ind w:left="432"/>
      </w:pPr>
      <w:r>
        <w:t xml:space="preserve">None anticipated.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difference in expenditures, revenues or cost savings to local entities in subsequent years.</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p>
    <w:p>
      <w:pPr>
        <w:pStyle w:val="kar_normal"/>
        <w:ind w:left="864"/>
      </w:pPr>
      <w:r>
        <w:t xml:space="preserve">Revenues:</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minimal anticipated fiscal impact to this administrative regulation in the first year. It is possible there will be a fiscal impact of administering applications for compact privileges for in-state licensees who apply for the privilege to practice in another state, and for out of state licensees who apply for the privilege to practice in Kentucky. The Compact Commission remains in its infancy and the work to be conducted by the state board on behalf of the compact is yet to be determined.</w:t>
      </w:r>
    </w:p>
    <w:p>
      <w:pPr>
        <w:pStyle w:val="kar_normal"/>
        <w:ind w:left="576"/>
      </w:pPr>
      <w:r>
        <w:t xml:space="preserve">(b) Methodology and resources used to determine the fiscal impact:</w:t>
      </w:r>
    </w:p>
    <w:p>
      <w:pPr>
        <w:pStyle w:val="kar_normal"/>
        <w:ind w:left="720"/>
      </w:pPr>
      <w:r>
        <w:t xml:space="preserve">Methodology and resources are currently indeterminable since there are no known duties outlined for the state in relation to the compact.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Methodology and resources are currently indeterminable since there are no known duties outlined for the state in relation to the compact; however, given the number of licensees, current budget and anticipated number of applications for out of state licensees to obtain the privilege to practice in Kentucky,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09b0488ce04fef" /><Relationship Type="http://schemas.openxmlformats.org/officeDocument/2006/relationships/settings" Target="/word/settings.xml" Id="Rc34e40976a2b4d68" /></Relationships>
</file>