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be9f402ec4e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15:050.</w:t>
      </w:r>
      <w:r>
        <w:t xml:space="preserve"> </w:t>
      </w:r>
      <w:r>
        <w:t xml:space="preserve">Out-of-state trust companies operating in Kentucky.</w:t>
      </w:r>
    </w:p>
    <w:p>
      <w:pPr>
        <w:pStyle w:val="kar_markup_metadata"/>
      </w:pPr>
      <w:r>
        <w:t xml:space="preserve">RELATES TO: </w:t>
      </w:r>
      <w:r>
        <w:t xml:space="preserve">KRS 286.3-146</w:t>
      </w:r>
    </w:p>
    <w:p>
      <w:pPr>
        <w:pStyle w:val="kar_markup_metadata"/>
      </w:pPr>
      <w:r>
        <w:t xml:space="preserve">STATUTORY AUTHORITY: </w:t>
      </w:r>
      <w:r>
        <w:t xml:space="preserve">KRS 286.1-020(1), KRS 286.3-146(2)(a)2</w:t>
      </w:r>
    </w:p>
    <w:p>
      <w:pPr>
        <w:pStyle w:val="kar_markup_metadata"/>
      </w:pPr>
      <w:r>
        <w:t xml:space="preserve">NECESSITY, FUNCTION, AND CONFORMITY: </w:t>
      </w:r>
      <w:r>
        <w:t xml:space="preserve">KRS 286.1-020(1) authorizes the commissioner to promulgate administrative regulations to interpret and carry out the provisions and intent of KRS Chapter 286. KRS 286.3-146(2)(a)2 authorizes the commissioner to promulgate an administrative regulation to prescribe the form and format of filings required by KRS 286.3-146(2). This administrative regulation establishes the procedure by which an out-of-state trust company may comply with KRS 286.3-146(2).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An out-of-state trust company shall submit a completed "Notification by Out-of-State Trust Company of Business Activity" Form to the department at least thirty (30) days prior to commencing business pursuant to KRS 286.3-146(2) in Kentucky.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Form B-1, "Notification by Out-of-State Trust Company of Business Activity", December 2024,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Department of Financial Institutions, 500 Mero St 2SW19, Frankfort, Kentucky 40601, Monday through Friday, 8:00 a.m. to 5:00 p.m. This material may also be obtained from the department's Web site at https://kfi.ky.gov/new_docs.aspx?cat=56.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(47 Ky.R. 2768; 48 Ky.R. 800; eff. 11-30-2021; 48 Ky.R. 3041; 49 Ky.R.563; eff. 12-6-2022; TAm eff. 12-6-2022; 51 Ky.R. 439, 1287; eff. 4-2-2025.)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4cc221312244a4" /><Relationship Type="http://schemas.openxmlformats.org/officeDocument/2006/relationships/settings" Target="/word/settings.xml" Id="Rad52139210a74684" /></Relationships>
</file>