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6a1be1ddf64bd0" /></Relationships>
</file>

<file path=word/document.xml><?xml version="1.0" encoding="utf-8"?>
<w:document xmlns:w="http://schemas.openxmlformats.org/wordprocessingml/2006/main">
  <w:body>
    <w:p>
      <w:pPr>
        <w:pStyle w:val="kar_citation"/>
      </w:pPr>
      <w:r>
        <w:t>201 KAR 2:465.</w:t>
      </w:r>
      <w:r>
        <w:t xml:space="preserve"> </w:t>
      </w:r>
      <w:r>
        <w:t xml:space="preserve">Non-resident pharmacy applications and waivers.</w:t>
      </w:r>
    </w:p>
    <w:p>
      <w:pPr>
        <w:pStyle w:val="kar_markup_metadata"/>
      </w:pPr>
      <w:r>
        <w:t xml:space="preserve">RELATES TO: </w:t>
      </w:r>
      <w:r>
        <w:t xml:space="preserve">KRS 315.191(1)(a), (d), 315.0351</w:t>
      </w:r>
    </w:p>
    <w:p>
      <w:pPr>
        <w:pStyle w:val="kar_markup_metadata"/>
      </w:pPr>
      <w:r>
        <w:t xml:space="preserve">STATUTORY AUTHORITY: </w:t>
      </w:r>
      <w:r>
        <w:t xml:space="preserve">KRS 315.191(1)(a), (d)</w:t>
      </w:r>
    </w:p>
    <w:p>
      <w:pPr>
        <w:pStyle w:val="kar_markup_metadata"/>
      </w:pPr>
      <w:r>
        <w:t xml:space="preserve">NECESSITY, FUNCTION, AND CONFORMITY: </w:t>
      </w:r>
      <w:r>
        <w:t xml:space="preserve">KRS 315.191(1)(a), (d) authorizes the board to promulgate administrative regulations and issue and renew permits for all pharmacies. This administrative regulation establishes the requirements to obtain a non-resident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an inspection record as established in subsection (1) of this Section is not readily available, the record of the satisfactory inspection conducted at the expense of the pharmacy within the previous twenty-four (24) months by a third-party recognized by the board to inspect may be accepted.</w:t>
      </w:r>
    </w:p>
    <w:p>
      <w:pPr>
        <w:pStyle w:val="kar_subsection"/>
      </w:pPr>
      <w:r>
        <w:t xml:space="preserve">(3)</w:t>
      </w:r>
      <w:r>
        <w:t xml:space="preserve"> </w:t>
      </w:r>
      <w:r>
        <w:t xml:space="preserve">If an inspection has not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(6) days a week and a minimum of forty (40)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Waiver.</w:t>
      </w:r>
    </w:p>
    <w:p>
      <w:pPr>
        <w:pStyle w:val="kar_subsection"/>
      </w:pPr>
      <w:r>
        <w:t xml:space="preserve">(1)</w:t>
      </w:r>
      <w:r>
        <w:t xml:space="preserve"> </w:t>
      </w:r>
      <w:r>
        <w:t xml:space="preserve">The board may grant a waiver from the permitting requirements of this section to any nonresident pharmacy which limits dispensing activity to isolated transactions.</w:t>
      </w:r>
    </w:p>
    <w:p>
      <w:pPr>
        <w:pStyle w:val="kar_subsection"/>
      </w:pPr>
      <w:r>
        <w:t xml:space="preserve">(2)</w:t>
      </w:r>
      <w:r>
        <w:t xml:space="preserve"> </w:t>
      </w:r>
      <w:r>
        <w:t xml:space="preserve">An isolated transaction is a transaction in which dispensing is limited to an established patient of the dispensing pharmacy no more than three (3) times per calendar year.</w:t>
      </w:r>
    </w:p>
    <w:p>
      <w:pPr>
        <w:pStyle w:val="kar_section"/>
      </w:pPr>
      <w:r>
        <w:t xml:space="preserve">Section 4.</w:t>
      </w:r>
      <w:r>
        <w:t xml:space="preserve"> </w:t>
      </w:r>
      <w:r>
        <w:t xml:space="preserve">Applications.</w:t>
      </w:r>
    </w:p>
    <w:p>
      <w:pPr>
        <w:pStyle w:val="kar_subsection"/>
      </w:pPr>
      <w:r>
        <w:t xml:space="preserve">(1)</w:t>
      </w:r>
      <w:r>
        <w:t xml:space="preserve"> </w:t>
      </w:r>
      <w:r>
        <w:t xml:space="preserve">To receive a permit as an out-of-state pharmacy, the facility shall be in good standing in the state where it is located and submit evidence consisting of:</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in good standing. If the licensing agency does not provide a letter, primary source verification may be utilized.</w:t>
      </w:r>
    </w:p>
    <w:p>
      <w:pPr>
        <w:pStyle w:val="kar_subsection"/>
      </w:pPr>
      <w:r>
        <w:t xml:space="preserve">(2)</w:t>
      </w:r>
      <w:r>
        <w:t xml:space="preserve"> </w:t>
      </w:r>
      <w:r>
        <w:t xml:space="preserve">Each applicant shall disclose the:</w:t>
      </w:r>
    </w:p>
    <w:p>
      <w:pPr>
        <w:pStyle w:val="kar_paragraph"/>
      </w:pPr>
      <w:r>
        <w:t xml:space="preserve">(a)</w:t>
      </w:r>
      <w:r>
        <w:t xml:space="preserve"> </w:t>
      </w:r>
      <w:r>
        <w:t xml:space="preserve"> </w:t>
      </w:r>
    </w:p>
    <w:p>
      <w:pPr>
        <w:pStyle w:val="kar_subparagraph"/>
      </w:pPr>
      <w:r>
        <w:t xml:space="preserve">1.</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the dispensing;</w:t>
      </w:r>
    </w:p>
    <w:p>
      <w:pPr>
        <w:pStyle w:val="kar_subparagraph"/>
      </w:pPr>
      <w:r>
        <w:t xml:space="preserve">2.</w:t>
      </w:r>
      <w:r>
        <w:t xml:space="preserve"> </w:t>
      </w:r>
      <w:r>
        <w:t xml:space="preserve">Names, locations, titles, social security number, and date of birth of all principal corporate officers or members, if incorporated; and</w:t>
      </w:r>
    </w:p>
    <w:p>
      <w:pPr>
        <w:pStyle w:val="kar_subparagraph"/>
      </w:pPr>
      <w:r>
        <w:t xml:space="preserve">3.</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(b)</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ensures the patient the opportunity to obtain medication at the earliest possible time; and</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w:t>
      </w:r>
    </w:p>
    <w:p>
      <w:pPr>
        <w:pStyle w:val="kar_subsection"/>
      </w:pPr>
      <w:r>
        <w:t xml:space="preserve">(4)</w:t>
      </w:r>
      <w:r>
        <w:t xml:space="preserve"> </w:t>
      </w:r>
      <w:r>
        <w:t xml:space="preserve"> </w:t>
      </w:r>
    </w:p>
    <w:p>
      <w:pPr>
        <w:pStyle w:val="kar_paragraph"/>
      </w:pPr>
      <w:r>
        <w:t xml:space="preserve">(a)</w:t>
      </w:r>
      <w:r>
        <w:t xml:space="preserve"> </w:t>
      </w:r>
      <w:r>
        <w:t xml:space="preserve">An applicant for an out-of-state pharmacy permit shall designate a resident agent in Kentucky for service of process.</w:t>
      </w:r>
    </w:p>
    <w:p>
      <w:pPr>
        <w:pStyle w:val="kar_paragraph"/>
      </w:pPr>
      <w:r>
        <w:t xml:space="preserve">(b)</w:t>
      </w:r>
      <w:r>
        <w:t xml:space="preserve"> </w:t>
      </w:r>
      <w:r>
        <w:t xml:space="preserve">An out-of-state pharmacy that does not designate a resident agent shall be deemed to have appointed the Secretary of State of the State of Kentucky to be its true and lawful attorney upon whom process may be served.</w:t>
      </w:r>
    </w:p>
    <w:p>
      <w:pPr>
        <w:pStyle w:val="kar_paragraph"/>
      </w:pPr>
      <w:r>
        <w:t xml:space="preserve">(c)</w:t>
      </w:r>
      <w:r>
        <w:t xml:space="preserve"> </w:t>
      </w:r>
      <w:r>
        <w:t xml:space="preserve">All legal process in any action or proceeding against the pharmacy arising from shipping, mailing, or delivering prescription drugs in Kentucky shall be served on the resident agent.</w:t>
      </w:r>
    </w:p>
    <w:p>
      <w:pPr>
        <w:pStyle w:val="kar_paragraph"/>
      </w:pPr>
      <w:r>
        <w:t xml:space="preserve">(d)</w:t>
      </w:r>
      <w:r>
        <w:t xml:space="preserve"> </w:t>
      </w:r>
      <w:r>
        <w:t xml:space="preserve">A copy of the service of process shall be mailed to the out-of-state pharmacy by certified mail, return receipt requested, at the address of the out-of-state pharmacy as designated on the registration form filed with the board.</w:t>
      </w:r>
    </w:p>
    <w:p>
      <w:pPr>
        <w:pStyle w:val="kar_paragraph"/>
      </w:pPr>
      <w:r>
        <w:t xml:space="preserve">(e)</w:t>
      </w:r>
      <w:r>
        <w:t xml:space="preserve"> </w:t>
      </w:r>
      <w:r>
        <w:t xml:space="preserve">An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entity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(30)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ection"/>
      </w:pPr>
      <w:r>
        <w:t xml:space="preserve">Section 5.</w:t>
      </w:r>
      <w:r>
        <w:t xml:space="preserve"> </w:t>
      </w:r>
      <w:r>
        <w:t xml:space="preserve">A nonresident pharmacy permit applicant shall submit:</w:t>
      </w:r>
    </w:p>
    <w:p>
      <w:pPr>
        <w:pStyle w:val="kar_subsection"/>
      </w:pPr>
      <w:r>
        <w:t xml:space="preserve">(1)</w:t>
      </w:r>
      <w:r>
        <w:t xml:space="preserve"> </w:t>
      </w:r>
      <w:r>
        <w:t xml:space="preserve">An initial or renewal application for a nonresident pharmacy permit on either the:</w:t>
      </w:r>
    </w:p>
    <w:p>
      <w:pPr>
        <w:pStyle w:val="kar_paragraph"/>
      </w:pPr>
      <w:r>
        <w:t xml:space="preserve">(a)</w:t>
      </w:r>
      <w:r>
        <w:t xml:space="preserve"> </w:t>
      </w:r>
      <w:r>
        <w:t xml:space="preserve">Application for Non-Resident Pharmacy Permit; or</w:t>
      </w:r>
    </w:p>
    <w:p>
      <w:pPr>
        <w:pStyle w:val="kar_paragraph"/>
      </w:pPr>
      <w:r>
        <w:t xml:space="preserve">(b)</w:t>
      </w:r>
      <w:r>
        <w:t xml:space="preserve"> </w:t>
      </w:r>
      <w:r>
        <w:t xml:space="preserve">Application for Non-Resident Pharmacy Permit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Non-Resident Pharmacy Permit", 04/2024; and</w:t>
      </w:r>
    </w:p>
    <w:p>
      <w:pPr>
        <w:pStyle w:val="kar_paragraph"/>
      </w:pPr>
      <w:r>
        <w:t xml:space="preserve">(b)</w:t>
      </w:r>
      <w:r>
        <w:t xml:space="preserve"> </w:t>
      </w:r>
      <w:r>
        <w:t xml:space="preserve">"Application for Non-Resident Pharmacy Permit Renewal", 04/2024.</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https://pharmacy.ky.gov/Businesses/Pages/Non-Resident-Pharmacy-Permit-Information.aspx.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2330; 51 Ky.R. 502, 1262;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9062621c2499e" /><Relationship Type="http://schemas.openxmlformats.org/officeDocument/2006/relationships/settings" Target="/word/settings.xml" Id="R2ecb7075eda740c3" /></Relationships>
</file>