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2c7d5cab894ea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(Amendment)</w:t>
      </w:r>
    </w:p>
    <w:p>
      <w:pPr>
        <w:pStyle w:val="kar_citation"/>
      </w:pPr>
      <w:r>
        <w:t>804 KAR 4:400.</w:t>
      </w:r>
      <w:r>
        <w:t xml:space="preserve"> </w:t>
      </w:r>
      <w:r>
        <w:t xml:space="preserve">Applications incorporated by reference.</w:t>
      </w:r>
    </w:p>
    <w:p>
      <w:pPr>
        <w:pStyle w:val="kar_markup_metadata"/>
      </w:pPr>
      <w:r>
        <w:t xml:space="preserve">RELATES TO: </w:t>
      </w:r>
      <w:r>
        <w:t xml:space="preserve">KRS 241.060(1), 243.090, 243.380, 243.390, 243.630</w:t>
      </w:r>
    </w:p>
    <w:p>
      <w:pPr>
        <w:pStyle w:val="kar_markup_metadata"/>
      </w:pPr>
      <w:r>
        <w:t xml:space="preserve">STATUTORY AUTHORITY: </w:t>
      </w:r>
      <w:r>
        <w:t xml:space="preserve">KRS 241.060(1), 243.380, 243.390, 243.630</w:t>
      </w:r>
    </w:p>
    <w:p>
      <w:pPr>
        <w:pStyle w:val="kar_markup_metadata"/>
      </w:pPr>
      <w:r>
        <w:t xml:space="preserve">NECESSITY, FUNCTION, AND CONFORMITY: </w:t>
      </w:r>
      <w:r>
        <w:t xml:space="preserve">KRS 241.060(1) authorizes the board to promulgate administrative regulations regarding matters over which the board has jurisdiction, including applications for licenses. KRS 243.380(2) and 243.390 require the board to promulgate an administrative regulation to establish the</w:t>
      </w:r>
      <w:r>
        <w:rPr>
          <w:u w:val="single"/>
        </w:rPr>
        <w:t xml:space="preserve"> form of</w:t>
      </w:r>
      <w:r>
        <w:t xml:space="preserve"> license applications. KRS 243.630(5) and (6) require licensees to apply in writing for department approval of the transfer of a license or a licensed business to a different premises or for the transfer of ten (10) percent or more ownership interest to a new person or entity. This administrative regulation prescribes the </w:t>
      </w:r>
      <w:r>
        <w:rPr>
          <w:u w:val="single"/>
        </w:rPr>
        <w:t xml:space="preserve">form of </w:t>
      </w:r>
      <w:r>
        <w:t xml:space="preserve">license applications utilized by the department.</w:t>
      </w:r>
    </w:p>
    <w:p>
      <w:pPr>
        <w:pStyle w:val="kar_section"/>
      </w:pPr>
      <w:r>
        <w:t xml:space="preserve">Section 1.</w:t>
      </w:r>
      <w:r>
        <w:t xml:space="preserve"> </w:t>
      </w:r>
      <w:r>
        <w:rPr>
          <w:u w:val="single"/>
        </w:rPr>
        <w:t xml:space="preserve">Definition. "Online portal" means the department's online licensing management portal located at https://abcportal.ky.gov/BELLEExternal.</w:t>
      </w:r>
    </w:p>
    <w:p>
      <w:pPr>
        <w:pStyle w:val="kar_section"/>
      </w:pPr>
      <w:r>
        <w:rPr>
          <w:u w:val="single"/>
        </w:rPr>
        <w:t xml:space="preserve">Section 2.</w:t>
      </w:r>
      <w:r>
        <w:t xml:space="preserve"> </w:t>
      </w:r>
      <w:r>
        <w:t xml:space="preserve">Online Application for Alcoholic Beverage License.</w:t>
      </w:r>
    </w:p>
    <w:p>
      <w:pPr>
        <w:pStyle w:val="kar_subsection"/>
      </w:pPr>
      <w:r>
        <w:t xml:space="preserve">(1)</w:t>
      </w:r>
      <w:r>
        <w:t xml:space="preserve"> </w:t>
      </w:r>
      <w:r>
        <w:t>[</w:t>
      </w:r>
      <w:r>
        <w:rPr>
          <w:strike w:val="true"/>
        </w:rPr>
        <w:t xml:space="preserve">Except as established in Section 3 of this administrative regulation.</w:t>
      </w:r>
      <w:r>
        <w:t>]</w:t>
      </w:r>
      <w:r>
        <w:t xml:space="preserve"> An applicant for an alcoholic beverage license shall complete the </w:t>
      </w:r>
      <w:r>
        <w:rPr>
          <w:u w:val="single"/>
        </w:rPr>
        <w:t xml:space="preserve">New License Application</w:t>
      </w:r>
      <w:r>
        <w:t>[</w:t>
      </w:r>
      <w:r>
        <w:rPr>
          <w:strike w:val="true"/>
        </w:rPr>
        <w:t xml:space="preserve">online application process and submit it electronically</w:t>
      </w:r>
      <w:r>
        <w:t>]</w:t>
      </w:r>
      <w:r>
        <w:t xml:space="preserve"> at the </w:t>
      </w:r>
      <w:r>
        <w:rPr>
          <w:u w:val="single"/>
        </w:rPr>
        <w:t xml:space="preserve">online portal.</w:t>
      </w:r>
      <w:r>
        <w:t>[</w:t>
      </w:r>
      <w:r>
        <w:rPr>
          <w:strike w:val="true"/>
        </w:rPr>
        <w:t xml:space="preserve">Online eServices Portal: https://dppweb.ky.gov/eservices/.</w:t>
      </w:r>
      <w:r>
        <w:t>]</w:t>
      </w:r>
    </w:p>
    <w:p>
      <w:pPr>
        <w:pStyle w:val="kar_subsection"/>
      </w:pPr>
      <w:r>
        <w:t xml:space="preserve">(2)</w:t>
      </w:r>
      <w:r>
        <w:t xml:space="preserve"> </w:t>
      </w:r>
      <w:r>
        <w:t xml:space="preserve">To renew a license pursuant to KRS 243.090 and 804 KAR 4:390, a licensee shall complete the </w:t>
      </w:r>
      <w:r>
        <w:rPr>
          <w:u w:val="single"/>
        </w:rPr>
        <w:t xml:space="preserve">License Renewal Application</w:t>
      </w:r>
      <w:r>
        <w:t>[</w:t>
      </w:r>
      <w:r>
        <w:rPr>
          <w:strike w:val="true"/>
        </w:rPr>
        <w:t xml:space="preserve">online renewal application process and submit it electronically</w:t>
      </w:r>
      <w:r>
        <w:t>]</w:t>
      </w:r>
      <w:r>
        <w:t xml:space="preserve"> at the </w:t>
      </w:r>
      <w:r>
        <w:rPr>
          <w:u w:val="single"/>
        </w:rPr>
        <w:t xml:space="preserve">online portal</w:t>
      </w:r>
      <w:r>
        <w:t>[</w:t>
      </w:r>
      <w:r>
        <w:rPr>
          <w:strike w:val="true"/>
        </w:rPr>
        <w:t xml:space="preserve">Online License Renewal Portal-KYBOS:</w:t>
      </w:r>
      <w:r>
        <w:t>]</w:t>
      </w:r>
      <w:r>
        <w:t>[</w:t>
      </w:r>
      <w:r>
        <w:rPr>
          <w:strike w:val="true"/>
        </w:rPr>
        <w:t xml:space="preserve">http://abc.ky.gov/Licensing/Pages/default.aspx</w:t>
      </w:r>
      <w:r>
        <w:t>]</w:t>
      </w:r>
      <w:r>
        <w:t xml:space="preserve">.</w:t>
      </w:r>
    </w:p>
    <w:p>
      <w:pPr>
        <w:pStyle w:val="kar_section"/>
      </w:pPr>
      <w:r>
        <w:rPr>
          <w:u w:val="single"/>
        </w:rPr>
        <w:t xml:space="preserve">Section 3.</w:t>
      </w:r>
      <w:r>
        <w:t>[</w:t>
      </w:r>
      <w:r>
        <w:rPr>
          <w:strike w:val="true"/>
        </w:rPr>
        <w:t xml:space="preserve">Section 2.</w:t>
      </w:r>
      <w:r>
        <w:t>]</w:t>
      </w:r>
      <w:r>
        <w:t xml:space="preserve"> </w:t>
      </w:r>
      <w:r>
        <w:t xml:space="preserve">Transfer of Ownership Interest Application.</w:t>
      </w:r>
    </w:p>
    <w:p>
      <w:pPr>
        <w:pStyle w:val="kar_subsection"/>
      </w:pPr>
      <w:r>
        <w:t xml:space="preserve">(1)</w:t>
      </w:r>
      <w:r>
        <w:t xml:space="preserve"> </w:t>
      </w:r>
      <w:r>
        <w:t xml:space="preserve">A buyer seeking to acquire, or a licensee seeking to transfer ten (10) percent or more ownership interest in a licensed business shall complete </w:t>
      </w:r>
      <w:r>
        <w:t>[</w:t>
      </w:r>
      <w:r>
        <w:rPr>
          <w:strike w:val="true"/>
        </w:rPr>
        <w:t xml:space="preserve">and submit </w:t>
      </w:r>
      <w:r>
        <w:t>]</w:t>
      </w:r>
      <w:r>
        <w:t xml:space="preserve">the Transfer of Ownership </w:t>
      </w:r>
      <w:r>
        <w:t>[</w:t>
      </w:r>
      <w:r>
        <w:rPr>
          <w:strike w:val="true"/>
        </w:rPr>
        <w:t xml:space="preserve">Interest </w:t>
      </w:r>
      <w:r>
        <w:t>]</w:t>
      </w:r>
      <w:r>
        <w:t xml:space="preserve">Application</w:t>
      </w:r>
      <w:r>
        <w:rPr>
          <w:u w:val="single"/>
        </w:rPr>
        <w:t xml:space="preserve"> at the online portal</w:t>
      </w:r>
      <w:r>
        <w:t>[</w:t>
      </w:r>
      <w:r>
        <w:rPr>
          <w:strike w:val="true"/>
        </w:rPr>
        <w:t xml:space="preserve">for</w:t>
      </w:r>
      <w:r>
        <w:t>]</w:t>
      </w:r>
      <w:r>
        <w:t>[</w:t>
      </w:r>
      <w:r>
        <w:rPr>
          <w:strike w:val="true"/>
        </w:rPr>
        <w:t xml:space="preserve">ownership interest transfers between legally recognized entities, where the licensee will remain</w:t>
      </w:r>
      <w:r>
        <w:t>]</w:t>
      </w:r>
      <w:r>
        <w:t>[</w:t>
      </w:r>
      <w:r>
        <w:rPr>
          <w:strike w:val="true"/>
        </w:rPr>
        <w:t xml:space="preserve">the same</w:t>
      </w:r>
      <w:r>
        <w:t>]</w:t>
      </w:r>
      <w:r>
        <w:t xml:space="preserve">.</w:t>
      </w:r>
    </w:p>
    <w:p>
      <w:pPr>
        <w:pStyle w:val="kar_subsection"/>
      </w:pPr>
      <w:r>
        <w:t xml:space="preserve">(2)</w:t>
      </w:r>
      <w:r>
        <w:t xml:space="preserve"> </w:t>
      </w:r>
      <w:r>
        <w:t xml:space="preserve">Although a licensee is not required to file an application for ownership interest transfers of less than ten (10) percent, a licensee shall notify the department in writing of all ownership interest transfers of less than ten (10) percent of the licensed business</w:t>
      </w:r>
      <w:r>
        <w:rPr>
          <w:u w:val="single"/>
        </w:rPr>
        <w:t xml:space="preserve"> at the online portal</w:t>
      </w:r>
      <w:r>
        <w:t xml:space="preserve">.</w:t>
      </w:r>
    </w:p>
    <w:p>
      <w:pPr>
        <w:pStyle w:val="kar_section"/>
      </w:pPr>
      <w:r>
        <w:t>[</w:t>
      </w:r>
      <w:r>
        <w:rPr>
          <w:strike w:val="true"/>
        </w:rPr>
        <w:t xml:space="preserve">Section 3.</w:t>
      </w:r>
      <w:r>
        <w:t>]</w:t>
      </w:r>
      <w:r>
        <w:t xml:space="preserve"> </w:t>
      </w:r>
      <w:r>
        <w:t>[</w:t>
      </w:r>
      <w:r>
        <w:rPr>
          <w:strike w:val="true"/>
        </w:rPr>
        <w:t xml:space="preserve">Written Application for Alcoholic Beverage License. If unable to complete an online</w:t>
      </w:r>
      <w:r>
        <w:t>]</w:t>
      </w:r>
      <w:r>
        <w:t>[</w:t>
      </w:r>
      <w:r>
        <w:rPr>
          <w:strike w:val="true"/>
        </w:rPr>
        <w:t xml:space="preserve">application, an applicant shall complete and submit the appropriate application for the license type</w:t>
      </w:r>
      <w:r>
        <w:t>]</w:t>
      </w:r>
      <w:r>
        <w:t>[</w:t>
      </w:r>
      <w:r>
        <w:rPr>
          <w:strike w:val="true"/>
        </w:rPr>
        <w:t xml:space="preserve">listed in subsections (1) to (8) in this section:</w:t>
      </w:r>
      <w:r>
        <w:t>]</w:t>
      </w:r>
    </w:p>
    <w:p>
      <w:pPr>
        <w:pStyle w:val="kar_subsection"/>
      </w:pPr>
      <w:r>
        <w:t>[</w:t>
      </w:r>
      <w:r>
        <w:rPr>
          <w:strike w:val="true"/>
        </w:rPr>
        <w:t xml:space="preserve">(1)</w:t>
      </w:r>
      <w:r>
        <w:t>]</w:t>
      </w:r>
      <w:r>
        <w:t xml:space="preserve"> </w:t>
      </w:r>
      <w:r>
        <w:t>[</w:t>
      </w:r>
      <w:r>
        <w:rPr>
          <w:strike w:val="true"/>
        </w:rPr>
        <w:t xml:space="preserve">Basic License Application;</w:t>
      </w:r>
      <w:r>
        <w:t>]</w:t>
      </w:r>
    </w:p>
    <w:p>
      <w:pPr>
        <w:pStyle w:val="kar_subsection"/>
      </w:pPr>
      <w:r>
        <w:t>[</w:t>
      </w:r>
      <w:r>
        <w:rPr>
          <w:strike w:val="true"/>
        </w:rPr>
        <w:t xml:space="preserve">(2)</w:t>
      </w:r>
      <w:r>
        <w:t>]</w:t>
      </w:r>
      <w:r>
        <w:t xml:space="preserve"> </w:t>
      </w:r>
      <w:r>
        <w:t>[</w:t>
      </w:r>
      <w:r>
        <w:rPr>
          <w:strike w:val="true"/>
        </w:rPr>
        <w:t xml:space="preserve">License Renewal Application;</w:t>
      </w:r>
      <w:r>
        <w:t>]</w:t>
      </w:r>
    </w:p>
    <w:p>
      <w:pPr>
        <w:pStyle w:val="kar_subsection"/>
      </w:pPr>
      <w:r>
        <w:t>[</w:t>
      </w:r>
      <w:r>
        <w:rPr>
          <w:strike w:val="true"/>
        </w:rPr>
        <w:t xml:space="preserve">(3)</w:t>
      </w:r>
      <w:r>
        <w:t>]</w:t>
      </w:r>
      <w:r>
        <w:t xml:space="preserve"> </w:t>
      </w:r>
      <w:r>
        <w:t>[</w:t>
      </w:r>
      <w:r>
        <w:rPr>
          <w:strike w:val="true"/>
        </w:rPr>
        <w:t xml:space="preserve">Transporter's License Application;</w:t>
      </w:r>
      <w:r>
        <w:t>]</w:t>
      </w:r>
    </w:p>
    <w:p>
      <w:pPr>
        <w:pStyle w:val="kar_subsection"/>
      </w:pPr>
      <w:r>
        <w:t>[</w:t>
      </w:r>
      <w:r>
        <w:rPr>
          <w:strike w:val="true"/>
        </w:rPr>
        <w:t xml:space="preserve">(4)</w:t>
      </w:r>
      <w:r>
        <w:t>]</w:t>
      </w:r>
      <w:r>
        <w:t xml:space="preserve"> </w:t>
      </w:r>
      <w:r>
        <w:t>[</w:t>
      </w:r>
      <w:r>
        <w:rPr>
          <w:strike w:val="true"/>
        </w:rPr>
        <w:t xml:space="preserve">Out-of-State Supplier License Application;</w:t>
      </w:r>
      <w:r>
        <w:t>]</w:t>
      </w:r>
    </w:p>
    <w:p>
      <w:pPr>
        <w:pStyle w:val="kar_subsection"/>
      </w:pPr>
      <w:r>
        <w:t>[</w:t>
      </w:r>
      <w:r>
        <w:rPr>
          <w:strike w:val="true"/>
        </w:rPr>
        <w:t xml:space="preserve">(5)</w:t>
      </w:r>
      <w:r>
        <w:t>]</w:t>
      </w:r>
      <w:r>
        <w:t xml:space="preserve"> </w:t>
      </w:r>
      <w:r>
        <w:t>[</w:t>
      </w:r>
      <w:r>
        <w:rPr>
          <w:strike w:val="true"/>
        </w:rPr>
        <w:t xml:space="preserve">Special Agent's or Solicitor's License Application;</w:t>
      </w:r>
      <w:r>
        <w:t>]</w:t>
      </w:r>
    </w:p>
    <w:p>
      <w:pPr>
        <w:pStyle w:val="kar_subsection"/>
      </w:pPr>
      <w:r>
        <w:t>[</w:t>
      </w:r>
      <w:r>
        <w:rPr>
          <w:strike w:val="true"/>
        </w:rPr>
        <w:t xml:space="preserve">(6)</w:t>
      </w:r>
      <w:r>
        <w:t>]</w:t>
      </w:r>
      <w:r>
        <w:t xml:space="preserve"> </w:t>
      </w:r>
      <w:r>
        <w:t>[</w:t>
      </w:r>
      <w:r>
        <w:rPr>
          <w:strike w:val="true"/>
        </w:rPr>
        <w:t xml:space="preserve">Special Temporary License Application;</w:t>
      </w:r>
      <w:r>
        <w:t>]</w:t>
      </w:r>
    </w:p>
    <w:p>
      <w:pPr>
        <w:pStyle w:val="kar_subsection"/>
      </w:pPr>
      <w:r>
        <w:t>[</w:t>
      </w:r>
      <w:r>
        <w:rPr>
          <w:strike w:val="true"/>
        </w:rPr>
        <w:t xml:space="preserve">(7)</w:t>
      </w:r>
      <w:r>
        <w:t>]</w:t>
      </w:r>
      <w:r>
        <w:t xml:space="preserve"> </w:t>
      </w:r>
      <w:r>
        <w:t>[</w:t>
      </w:r>
      <w:r>
        <w:rPr>
          <w:strike w:val="true"/>
        </w:rPr>
        <w:t xml:space="preserve">Additional License(s) Application; or</w:t>
      </w:r>
      <w:r>
        <w:t>]</w:t>
      </w:r>
    </w:p>
    <w:p>
      <w:pPr>
        <w:pStyle w:val="kar_subsection"/>
      </w:pPr>
      <w:r>
        <w:t>[</w:t>
      </w:r>
      <w:r>
        <w:rPr>
          <w:strike w:val="true"/>
        </w:rPr>
        <w:t xml:space="preserve">(8)</w:t>
      </w:r>
      <w:r>
        <w:t>]</w:t>
      </w:r>
      <w:r>
        <w:t xml:space="preserve"> </w:t>
      </w:r>
      <w:r>
        <w:t>[</w:t>
      </w:r>
      <w:r>
        <w:rPr>
          <w:strike w:val="true"/>
        </w:rPr>
        <w:t xml:space="preserve">Transfer of Ownership Interest Application</w:t>
      </w:r>
      <w:r>
        <w:t>]</w:t>
      </w:r>
      <w:r>
        <w:t xml:space="preserv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"New License Application" November 2024</w:t>
      </w:r>
      <w:r>
        <w:t>[</w:t>
      </w:r>
      <w:r>
        <w:rPr>
          <w:strike w:val="true"/>
        </w:rPr>
        <w:t xml:space="preserve">"Basic License Application", June 2017;]</w:t>
      </w:r>
      <w:r>
        <w:t>]</w:t>
      </w:r>
    </w:p>
    <w:p>
      <w:pPr>
        <w:pStyle w:val="kar_paragraph"/>
      </w:pPr>
      <w:r>
        <w:t xml:space="preserve">(b)</w:t>
      </w:r>
      <w:r>
        <w:t xml:space="preserve"> </w:t>
      </w:r>
      <w:r>
        <w:t xml:space="preserve">" License Renewal Application", </w:t>
      </w:r>
      <w:r>
        <w:rPr>
          <w:u w:val="single"/>
        </w:rPr>
        <w:t xml:space="preserve">November 2024</w:t>
      </w:r>
      <w:r>
        <w:t>[</w:t>
      </w:r>
      <w:r>
        <w:rPr>
          <w:strike w:val="true"/>
        </w:rPr>
        <w:t xml:space="preserve">June 2017</w:t>
      </w:r>
      <w:r>
        <w:t>]</w:t>
      </w:r>
      <w:r>
        <w:t xml:space="preserve">;</w:t>
      </w:r>
    </w:p>
    <w:p>
      <w:pPr>
        <w:pStyle w:val="kar_paragraph"/>
      </w:pPr>
      <w:r>
        <w:t xml:space="preserve">(c)</w:t>
      </w:r>
      <w:r>
        <w:t xml:space="preserve"> </w:t>
      </w:r>
      <w:r>
        <w:t xml:space="preserve">"</w:t>
      </w:r>
      <w:r>
        <w:rPr>
          <w:u w:val="single"/>
        </w:rPr>
        <w:t xml:space="preserve">Add Company" forms package</w:t>
      </w:r>
      <w:r>
        <w:t>[</w:t>
      </w:r>
      <w:r>
        <w:rPr>
          <w:strike w:val="true"/>
        </w:rPr>
        <w:t xml:space="preserve">Transporter's License Application</w:t>
      </w:r>
      <w:r>
        <w:t>]</w:t>
      </w:r>
      <w:r>
        <w:t xml:space="preserve">", </w:t>
      </w:r>
      <w:r>
        <w:rPr>
          <w:u w:val="single"/>
        </w:rPr>
        <w:t xml:space="preserve">November 2024</w:t>
      </w:r>
      <w:r>
        <w:t>[</w:t>
      </w:r>
      <w:r>
        <w:rPr>
          <w:strike w:val="true"/>
        </w:rPr>
        <w:t xml:space="preserve">June</w:t>
      </w:r>
      <w:r>
        <w:t>]</w:t>
      </w:r>
      <w:r>
        <w:t>[</w:t>
      </w:r>
      <w:r>
        <w:rPr>
          <w:strike w:val="true"/>
        </w:rPr>
        <w:t xml:space="preserve">2017</w:t>
      </w:r>
      <w:r>
        <w:t>]</w:t>
      </w:r>
      <w:r>
        <w:t xml:space="preserve">;</w:t>
      </w:r>
    </w:p>
    <w:p>
      <w:pPr>
        <w:pStyle w:val="kar_paragraph"/>
      </w:pPr>
      <w:r>
        <w:t xml:space="preserve">(d)</w:t>
      </w:r>
      <w:r>
        <w:t xml:space="preserve"> </w:t>
      </w:r>
      <w:r>
        <w:t xml:space="preserve">"</w:t>
      </w:r>
      <w:r>
        <w:rPr>
          <w:u w:val="single"/>
        </w:rPr>
        <w:t xml:space="preserve">Affidavit</w:t>
      </w:r>
      <w:r>
        <w:t>[</w:t>
      </w:r>
      <w:r>
        <w:rPr>
          <w:strike w:val="true"/>
        </w:rPr>
        <w:t xml:space="preserve">Out-of-State Supplier License Application</w:t>
      </w:r>
      <w:r>
        <w:t>]</w:t>
      </w:r>
      <w:r>
        <w:t xml:space="preserve">", </w:t>
      </w:r>
      <w:r>
        <w:rPr>
          <w:u w:val="single"/>
        </w:rPr>
        <w:t xml:space="preserve">November 2024</w:t>
      </w:r>
      <w:r>
        <w:t>[</w:t>
      </w:r>
      <w:r>
        <w:rPr>
          <w:strike w:val="true"/>
        </w:rPr>
        <w:t xml:space="preserve">June 2017</w:t>
      </w:r>
      <w:r>
        <w:t>]</w:t>
      </w:r>
      <w:r>
        <w:t xml:space="preserve">;</w:t>
      </w:r>
    </w:p>
    <w:p>
      <w:pPr>
        <w:pStyle w:val="kar_paragraph"/>
      </w:pPr>
      <w:r>
        <w:t xml:space="preserve">(e)</w:t>
      </w:r>
      <w:r>
        <w:t xml:space="preserve"> </w:t>
      </w:r>
      <w:r>
        <w:t xml:space="preserve">"</w:t>
      </w:r>
      <w:r>
        <w:rPr>
          <w:u w:val="single"/>
        </w:rPr>
        <w:t xml:space="preserve">Instructions</w:t>
      </w:r>
      <w:r>
        <w:t>[</w:t>
      </w:r>
      <w:r>
        <w:rPr>
          <w:strike w:val="true"/>
        </w:rPr>
        <w:t xml:space="preserve">Special Agent's or Solicitor's License Application</w:t>
      </w:r>
      <w:r>
        <w:t>]</w:t>
      </w:r>
      <w:r>
        <w:t xml:space="preserve">", </w:t>
      </w:r>
      <w:r>
        <w:rPr>
          <w:u w:val="single"/>
        </w:rPr>
        <w:t xml:space="preserve">November 2024</w:t>
      </w:r>
      <w:r>
        <w:t>[</w:t>
      </w:r>
      <w:r>
        <w:rPr>
          <w:strike w:val="true"/>
        </w:rPr>
        <w:t xml:space="preserve">June 2017</w:t>
      </w:r>
      <w:r>
        <w:t>]</w:t>
      </w:r>
      <w:r>
        <w:t xml:space="preserve">;</w:t>
      </w:r>
    </w:p>
    <w:p>
      <w:pPr>
        <w:pStyle w:val="kar_paragraph"/>
      </w:pPr>
      <w:r>
        <w:t xml:space="preserve">(f)</w:t>
      </w:r>
      <w:r>
        <w:t xml:space="preserve"> </w:t>
      </w:r>
      <w:r>
        <w:t xml:space="preserve">"</w:t>
      </w:r>
      <w:r>
        <w:t>[</w:t>
      </w:r>
      <w:r>
        <w:rPr>
          <w:strike w:val="true"/>
        </w:rPr>
        <w:t xml:space="preserve">Special </w:t>
      </w:r>
      <w:r>
        <w:t>]</w:t>
      </w:r>
      <w:r>
        <w:t xml:space="preserve">Temporary License Application", </w:t>
      </w:r>
      <w:r>
        <w:rPr>
          <w:u w:val="single"/>
        </w:rPr>
        <w:t xml:space="preserve">November 2024</w:t>
      </w:r>
      <w:r>
        <w:t>[</w:t>
      </w:r>
      <w:r>
        <w:rPr>
          <w:strike w:val="true"/>
        </w:rPr>
        <w:t xml:space="preserve">June 2017</w:t>
      </w:r>
      <w:r>
        <w:t>]</w:t>
      </w:r>
      <w:r>
        <w:t xml:space="preserve">;</w:t>
      </w:r>
    </w:p>
    <w:p>
      <w:pPr>
        <w:pStyle w:val="kar_paragraph"/>
      </w:pPr>
      <w:r>
        <w:t xml:space="preserve">(g)</w:t>
      </w:r>
      <w:r>
        <w:t xml:space="preserve"> </w:t>
      </w:r>
      <w:r>
        <w:t xml:space="preserve">"Additional </w:t>
      </w:r>
      <w:r>
        <w:rPr>
          <w:u w:val="single"/>
        </w:rPr>
        <w:t xml:space="preserve">License</w:t>
      </w:r>
      <w:r>
        <w:t>[</w:t>
      </w:r>
      <w:r>
        <w:rPr>
          <w:strike w:val="true"/>
        </w:rPr>
        <w:t xml:space="preserve">License(s)</w:t>
      </w:r>
      <w:r>
        <w:t>]</w:t>
      </w:r>
      <w:r>
        <w:t xml:space="preserve"> Application", </w:t>
      </w:r>
      <w:r>
        <w:rPr>
          <w:u w:val="single"/>
        </w:rPr>
        <w:t xml:space="preserve">November 2024</w:t>
      </w:r>
      <w:r>
        <w:t>[</w:t>
      </w:r>
      <w:r>
        <w:rPr>
          <w:strike w:val="true"/>
        </w:rPr>
        <w:t xml:space="preserve">June 2017</w:t>
      </w:r>
      <w:r>
        <w:t>]</w:t>
      </w:r>
      <w:r>
        <w:t xml:space="preserve">;</w:t>
      </w:r>
    </w:p>
    <w:p>
      <w:pPr>
        <w:pStyle w:val="kar_paragraph"/>
      </w:pPr>
      <w:r>
        <w:t xml:space="preserve">(h)</w:t>
      </w:r>
      <w:r>
        <w:t xml:space="preserve"> </w:t>
      </w:r>
      <w:r>
        <w:t xml:space="preserve">"Transfer of Ownership </w:t>
      </w:r>
      <w:r>
        <w:t>[</w:t>
      </w:r>
      <w:r>
        <w:rPr>
          <w:strike w:val="true"/>
        </w:rPr>
        <w:t xml:space="preserve">Interest </w:t>
      </w:r>
      <w:r>
        <w:t>]</w:t>
      </w:r>
      <w:r>
        <w:t xml:space="preserve">Application", </w:t>
      </w:r>
      <w:r>
        <w:rPr>
          <w:u w:val="single"/>
        </w:rPr>
        <w:t xml:space="preserve">November 2024</w:t>
      </w:r>
      <w:r>
        <w:t>[</w:t>
      </w:r>
      <w:r>
        <w:rPr>
          <w:strike w:val="true"/>
        </w:rPr>
        <w:t xml:space="preserve">June 2017</w:t>
      </w:r>
      <w:r>
        <w:t>]</w:t>
      </w:r>
      <w:r>
        <w:t xml:space="preserve">;</w:t>
      </w:r>
      <w:r>
        <w:rPr>
          <w:u w:val="single"/>
        </w:rPr>
        <w:t xml:space="preserve"> and</w:t>
      </w:r>
    </w:p>
    <w:p>
      <w:pPr>
        <w:pStyle w:val="kar_paragraph"/>
      </w:pPr>
      <w:r>
        <w:t xml:space="preserve">(i)</w:t>
      </w:r>
      <w:r>
        <w:t xml:space="preserve"> </w:t>
      </w:r>
      <w:r>
        <w:t xml:space="preserve">"</w:t>
      </w:r>
      <w:r>
        <w:rPr>
          <w:u w:val="single"/>
        </w:rPr>
        <w:t xml:space="preserve">License Types List</w:t>
      </w:r>
      <w:r>
        <w:t>[</w:t>
      </w:r>
      <w:r>
        <w:rPr>
          <w:strike w:val="true"/>
        </w:rPr>
        <w:t xml:space="preserve">Online eServices Portal</w:t>
      </w:r>
      <w:r>
        <w:t>]</w:t>
      </w:r>
      <w:r>
        <w:t xml:space="preserve">",</w:t>
      </w:r>
      <w:r>
        <w:rPr>
          <w:u w:val="single"/>
        </w:rPr>
        <w:t xml:space="preserve"> November 2024</w:t>
      </w:r>
      <w:r>
        <w:t>[</w:t>
      </w:r>
      <w:r>
        <w:rPr>
          <w:strike w:val="true"/>
        </w:rPr>
        <w:t xml:space="preserve">June</w:t>
      </w:r>
      <w:r>
        <w:t>]</w:t>
      </w:r>
      <w:r>
        <w:t>[</w:t>
      </w:r>
      <w:r>
        <w:rPr>
          <w:strike w:val="true"/>
        </w:rPr>
        <w:t xml:space="preserve">2017; and</w:t>
      </w:r>
      <w:r>
        <w:t>]</w:t>
      </w:r>
    </w:p>
    <w:p>
      <w:pPr>
        <w:pStyle w:val="kar_paragraph"/>
      </w:pPr>
      <w:r>
        <w:t>[</w:t>
      </w:r>
      <w:r>
        <w:rPr>
          <w:strike w:val="true"/>
        </w:rPr>
        <w:t xml:space="preserve">(j)</w:t>
      </w:r>
      <w:r>
        <w:t>]</w:t>
      </w:r>
      <w:r>
        <w:t xml:space="preserve"> </w:t>
      </w:r>
      <w:r>
        <w:t>[</w:t>
      </w:r>
      <w:r>
        <w:rPr>
          <w:strike w:val="true"/>
        </w:rPr>
        <w:t xml:space="preserve">"Online License Renewal Portal-KYBOS", June 2017</w:t>
      </w:r>
      <w:r>
        <w:t>]</w:t>
      </w:r>
      <w:r>
        <w:t xml:space="preserve">.</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 2NE33, Frankfort, Kentucky 40601, Monday through Friday, 8 a.m. to 4:30 p.m. This material is also available on the department's Web site, http://www.abc.ky.gov/.</w:t>
      </w:r>
    </w:p>
    <w:p>
      <w:pPr>
        <w:pStyle w:val="kar_signature"/>
      </w:pPr>
      <w:r>
        <w:t xml:space="preserve">ALLYSON C TAYLOR, Commissioner</w:t>
      </w:r>
    </w:p>
    <w:p>
      <w:pPr>
        <w:pStyle w:val="kar_signature"/>
      </w:pPr>
      <w:r>
        <w:t xml:space="preserve">RAY PERRY, Secretary</w:t>
      </w:r>
    </w:p>
    <w:p>
      <w:pPr>
        <w:pStyle w:val="kar_normal"/>
      </w:pPr>
      <w:r>
        <w:t xml:space="preserve"/>
      </w:r>
    </w:p>
    <w:p>
      <w:pPr>
        <w:pStyle w:val="kar_approved_by"/>
      </w:pPr>
      <w:r>
        <w:t xml:space="preserve">APPROVED BY AGENCY: December 13, 2024</w:t>
      </w:r>
    </w:p>
    <w:p>
      <w:pPr>
        <w:pStyle w:val="kar_filed"/>
      </w:pPr>
      <w:r>
        <w:t xml:space="preserve">FILED WITH LRC: December 20, 2024 at 2:50 p.m.</w:t>
      </w:r>
    </w:p>
    <w:p>
      <w:pPr>
        <w:pStyle w:val="kar_normal"/>
      </w:pPr>
      <w:r>
        <w:t xml:space="preserve"/>
      </w:r>
    </w:p>
    <w:p>
      <w:pPr>
        <w:pStyle w:val="kar_comment_period"/>
      </w:pPr>
      <w:r>
        <w:t xml:space="preserve">PUBLIC HEARING AND PUBLIC COMMENT PERIOD: A public hearing on this administrative regulation shall be held on March 25, 2025, at 9:00 a.m. EST, at 500 Mero Street, Room 127CW,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2025. Send written notification of intent to be heard at the public hearing or written comments on the proposed administrative regulation to the contact person.</w:t>
      </w:r>
    </w:p>
    <w:p>
      <w:pPr>
        <w:pStyle w:val="kar_contact_person"/>
      </w:pPr>
      <w:r>
        <w:t xml:space="preserve">CONTACT PERSON: Joshua Newton, Title: General Counsel, Department of Alcoholic Beverage Control Address: 500 Mero Street, 2 NE #226, Frankfort, Kentucky 40601, Phone: (502) 782-0770, Fax: (502) 564-4850, Email: Joshua.Newton@ky.gov</w:t>
      </w:r>
    </w:p>
    <w:p>
      <w:pPr>
        <w:pStyle w:val="kar_form_name"/>
      </w:pPr>
      <w:r>
        <w:t xml:space="preserve">REGULATORY IMPACT ANALYSIS AND TIERING STATEMENT</w:t>
      </w:r>
    </w:p>
    <w:p>
      <w:pPr>
        <w:pStyle w:val="kar_normal"/>
        <w:ind w:left="0"/>
      </w:pPr>
      <w:r>
        <w:t xml:space="preserve">Contact Person:</w:t>
      </w:r>
      <w:r>
        <w:t xml:space="preserve"> Joshua Newton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outlines the forms to be used to apply for multiple types of alcohol licenses.</w:t>
      </w:r>
    </w:p>
    <w:p>
      <w:pPr>
        <w:pStyle w:val="kar_normal"/>
        <w:ind w:left="576"/>
      </w:pPr>
      <w:r>
        <w:t xml:space="preserve">(b) The necessity of this administrative regulation:</w:t>
      </w:r>
    </w:p>
    <w:p>
      <w:pPr>
        <w:pStyle w:val="kar_normal"/>
        <w:ind w:left="720"/>
      </w:pPr>
      <w:r>
        <w:t xml:space="preserve">This regulation is necessary to guide members of the alcohol industry to the appropriate forms to apply for alcohol licenses or renew current licenses.</w:t>
      </w:r>
    </w:p>
    <w:p>
      <w:pPr>
        <w:pStyle w:val="kar_normal"/>
        <w:ind w:left="576"/>
      </w:pPr>
      <w:r>
        <w:t xml:space="preserve">(c) How this administrative regulation conforms to the content of the authorizing statutes:</w:t>
      </w:r>
    </w:p>
    <w:p>
      <w:pPr>
        <w:pStyle w:val="kar_normal"/>
        <w:ind w:left="720"/>
      </w:pPr>
      <w:r>
        <w:t xml:space="preserve">KRS 243.380(2) and 243.390 require the board to promulgate an administrative regulation to establish the form of license applications. KRS 243.630(5) and (6) require licensees to apply in writing for department approval of the transfer of a license or a licensed business to a different premises or for the transfer of ten (10) percent or more ownership interest to a new person or entity. This administrative regulation prescribes the form of license applications utilized by the department.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agency has the duty to provide the public with the opportunity to apply for alcohol licenses. This regulation points them to the appropriate form for certain license types.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outlines the forms accessible on the agency’s online licensing portal.</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incorporate the agency’s online application forms.</w:t>
      </w:r>
    </w:p>
    <w:p>
      <w:pPr>
        <w:pStyle w:val="kar_normal"/>
        <w:ind w:left="576"/>
      </w:pPr>
      <w:r>
        <w:t xml:space="preserve">(c) How the amendment conforms to the content of the authorizing statutes:</w:t>
      </w:r>
    </w:p>
    <w:p>
      <w:pPr>
        <w:pStyle w:val="kar_normal"/>
        <w:ind w:left="720"/>
      </w:pPr>
      <w:r>
        <w:t xml:space="preserve">KRS 243.380(2) and 243.390 require the board to promulgate an administrative regulation to establish the form of license applications. This amendment reflects the updated forms to accomplish this statutory mandate.</w:t>
      </w:r>
    </w:p>
    <w:p>
      <w:pPr>
        <w:pStyle w:val="kar_normal"/>
        <w:ind w:left="576"/>
      </w:pPr>
      <w:r>
        <w:t xml:space="preserve">(d) How the amendment will assist in the effective administration of the statutes:</w:t>
      </w:r>
    </w:p>
    <w:p>
      <w:pPr>
        <w:pStyle w:val="kar_normal"/>
        <w:ind w:left="720"/>
      </w:pPr>
      <w:r>
        <w:t xml:space="preserve">KRS 243.380(2) and 243.390 require the board to promulgate an administrative regulation to establish the form of license applications. This amendment reflects the updated forms to accomplish this statutory mandate.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over 18,000 entities licensed in Kentucky to traffic in alcohol. This includes producers, wholesalers and distributors, and retailers. These businesses use the online portal to apply for and receive licenses to operate.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entity listed will continue to apply online for initial and renewed alcohol licenses.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fees for licenses but there is no fee to access or utilize the online portal. There will be no new cost or expense to the applicants.</w:t>
      </w:r>
    </w:p>
    <w:p>
      <w:pPr>
        <w:pStyle w:val="kar_normal"/>
        <w:ind w:left="576"/>
      </w:pPr>
      <w:r>
        <w:t xml:space="preserve">(c) As a result of compliance, what benefits will accrue to the entities identified in question (3):</w:t>
      </w:r>
    </w:p>
    <w:p>
      <w:pPr>
        <w:pStyle w:val="kar_normal"/>
        <w:ind w:left="720"/>
      </w:pPr>
      <w:r>
        <w:t xml:space="preserve">By allowing online license application and renewal, the entities in the alcohol industry have realized a positive impact in that the licenses are issued in a much quicker and streamlined process than paper forms and mail. This amendment merely updates and formally codifies the online applications and the licensing portal.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agency as the licensing portal is built in-house.</w:t>
      </w:r>
    </w:p>
    <w:p>
      <w:pPr>
        <w:pStyle w:val="kar_normal"/>
        <w:ind w:left="576"/>
      </w:pPr>
      <w:r>
        <w:t xml:space="preserve">(b) On a continuing basis:</w:t>
      </w:r>
    </w:p>
    <w:p>
      <w:pPr>
        <w:pStyle w:val="kar_normal"/>
        <w:ind w:left="720"/>
      </w:pPr>
      <w:r>
        <w:t xml:space="preserve">There are no additional continuing costs to the agency as the licensing portal is built in-house.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agency utilizes licensing fees to meet its licensing and enforcement obligations.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 either directly or indirectly.</w:t>
      </w:r>
    </w:p>
    <w:p>
      <w:pPr>
        <w:pStyle w:val="kar_normal"/>
        <w:ind w:left="288"/>
      </w:pPr>
      <w:r>
        <w:t xml:space="preserve">(9) TIERING: Is tiering applied?</w:t>
      </w:r>
    </w:p>
    <w:p>
      <w:pPr>
        <w:pStyle w:val="kar_normal"/>
        <w:ind w:left="432"/>
      </w:pPr>
      <w:r>
        <w:t xml:space="preserve">There is no tiering applied as this amendment is simply to update forms used online for licensing applications and renewals.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241.060(1) authorizes the board to promulgate reasonable regulations involving licensing, and KRS 13A.110 provides a statutory mandate that forms for license applications be promulgated.</w:t>
      </w:r>
    </w:p>
    <w:p>
      <w:pPr>
        <w:pStyle w:val="kar_normal"/>
        <w:ind w:left="288"/>
      </w:pPr>
      <w:r>
        <w:t xml:space="preserve">(2) Identify the promulgating agency and any other affected state units, parts, or divisions:</w:t>
      </w:r>
    </w:p>
    <w:p>
      <w:pPr>
        <w:pStyle w:val="kar_normal"/>
        <w:ind w:left="432"/>
      </w:pPr>
      <w:r>
        <w:t xml:space="preserve">Kentucky Department of Alcoholic Beverage Control.</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is to update forms incorporated by reference and will result in no changes to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Local ABC administrators have access to the online portal for local approvals and denials. This amendment will not affect these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updates materials incorporated by reference and does not affect expenditures, revenues, or costs.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related to this amendment.</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amendment, incorporating the online forms used to apply for licenses and renew current licenses, has no negative or adverse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These forms make applying for and renewing licenses easier and faster while costing the applicant nothing to utilize them.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1f5d4e13924a46" /><Relationship Type="http://schemas.openxmlformats.org/officeDocument/2006/relationships/settings" Target="/word/settings.xml" Id="Rfaafb994af0e4dc2" /></Relationships>
</file>