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b68f08016d4e0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(Amendment)</w:t>
      </w:r>
    </w:p>
    <w:p>
      <w:pPr>
        <w:pStyle w:val="kar_citation"/>
      </w:pPr>
      <w:r>
        <w:t>804 KAR 4:410.</w:t>
      </w:r>
      <w:r>
        <w:t xml:space="preserve"> </w:t>
      </w:r>
      <w:r>
        <w:t xml:space="preserve">Product registration and forms.</w:t>
      </w:r>
    </w:p>
    <w:p>
      <w:pPr>
        <w:pStyle w:val="kar_markup_metadata"/>
      </w:pPr>
      <w:r>
        <w:t xml:space="preserve">RELATES TO: </w:t>
      </w:r>
      <w:r>
        <w:t xml:space="preserve">KRS 13A.110, 241.060(1), 243.380, 243.390</w:t>
      </w:r>
    </w:p>
    <w:p>
      <w:pPr>
        <w:pStyle w:val="kar_markup_metadata"/>
      </w:pPr>
      <w:r>
        <w:t xml:space="preserve">STATUTORY AUTHORITY: </w:t>
      </w:r>
      <w:r>
        <w:t xml:space="preserve">KRS 241.060(1), 243.380, 243.390, 244.440, 244.585</w:t>
      </w:r>
    </w:p>
    <w:p>
      <w:pPr>
        <w:pStyle w:val="kar_markup_metadata"/>
      </w:pPr>
      <w:r>
        <w:t xml:space="preserve">NECESSITY, FUNCTION, AND CONFORMITY: </w:t>
      </w:r>
      <w:r>
        <w:t xml:space="preserve">KRS 241.060(1) authorizes the board to promulgate administrative regulations regarding matters over which the board has jurisdiction.</w:t>
      </w:r>
    </w:p>
    <w:p>
      <w:pPr>
        <w:pStyle w:val="kar_section"/>
      </w:pPr>
      <w:r>
        <w:t xml:space="preserve">Section 1.</w:t>
      </w:r>
      <w:r>
        <w:t xml:space="preserve"> </w:t>
      </w:r>
      <w:r>
        <w:t xml:space="preserve">Product Registration. Licensees required to register product brands and flavors shall use the Online Product Registration Portal to complete the online registration process at: https://www.productregistrationonline.com/GetStarted/Ky#selectPermit.</w:t>
      </w:r>
    </w:p>
    <w:p>
      <w:pPr>
        <w:pStyle w:val="kar_section"/>
      </w:pPr>
      <w:r>
        <w:t xml:space="preserve">Section 2.</w:t>
      </w:r>
      <w:r>
        <w:t xml:space="preserve"> </w:t>
      </w:r>
      <w:r>
        <w:t xml:space="preserve">Forms. A person shall complete and submit the following additional forms as needed or requested by the department:</w:t>
      </w:r>
    </w:p>
    <w:p>
      <w:pPr>
        <w:pStyle w:val="kar_subsection"/>
      </w:pPr>
      <w:r>
        <w:t xml:space="preserve">(1)</w:t>
      </w:r>
      <w:r>
        <w:t xml:space="preserve"> </w:t>
      </w:r>
      <w:r>
        <w:t xml:space="preserve">Dormancy Request Form;</w:t>
      </w:r>
    </w:p>
    <w:p>
      <w:pPr>
        <w:pStyle w:val="kar_subsection"/>
      </w:pPr>
      <w:r>
        <w:t xml:space="preserve">(2)</w:t>
      </w:r>
      <w:r>
        <w:t xml:space="preserve"> </w:t>
      </w:r>
      <w:r>
        <w:t xml:space="preserve">Non-Transfer Affidavit Form;</w:t>
      </w:r>
      <w:r>
        <w:rPr>
          <w:u w:val="single"/>
        </w:rPr>
        <w:t xml:space="preserve"> and</w:t>
      </w:r>
    </w:p>
    <w:p>
      <w:pPr>
        <w:pStyle w:val="kar_subsection"/>
      </w:pPr>
      <w:r>
        <w:t xml:space="preserve">(3)</w:t>
      </w:r>
      <w:r>
        <w:t xml:space="preserve"> </w:t>
      </w:r>
      <w:r>
        <w:t>[</w:t>
      </w:r>
      <w:r>
        <w:rPr>
          <w:strike w:val="true"/>
        </w:rPr>
        <w:t xml:space="preserve">Credit/Debit Payment Form;</w:t>
      </w:r>
      <w:r>
        <w:t>]</w:t>
      </w:r>
    </w:p>
    <w:p>
      <w:pPr>
        <w:pStyle w:val="kar_subsection"/>
      </w:pPr>
      <w:r>
        <w:t>[</w:t>
      </w:r>
      <w:r>
        <w:rPr>
          <w:strike w:val="true"/>
        </w:rPr>
        <w:t xml:space="preserve">(4)</w:t>
      </w:r>
      <w:r>
        <w:t>]</w:t>
      </w:r>
      <w:r>
        <w:t xml:space="preserve"> </w:t>
      </w:r>
      <w:r>
        <w:t xml:space="preserve">Refund Request Form</w:t>
      </w:r>
      <w:r>
        <w:t>[</w:t>
      </w:r>
      <w:r>
        <w:rPr>
          <w:strike w:val="true"/>
        </w:rPr>
        <w:t xml:space="preserve">;</w:t>
      </w:r>
      <w:r>
        <w:t>]</w:t>
      </w:r>
    </w:p>
    <w:p>
      <w:pPr>
        <w:pStyle w:val="kar_subsection"/>
      </w:pPr>
      <w:r>
        <w:t>[</w:t>
      </w:r>
      <w:r>
        <w:rPr>
          <w:strike w:val="true"/>
        </w:rPr>
        <w:t xml:space="preserve">(5)</w:t>
      </w:r>
      <w:r>
        <w:t>]</w:t>
      </w:r>
      <w:r>
        <w:t xml:space="preserve"> </w:t>
      </w:r>
      <w:r>
        <w:t>[</w:t>
      </w:r>
      <w:r>
        <w:rPr>
          <w:strike w:val="true"/>
        </w:rPr>
        <w:t xml:space="preserve">Law Book Order Form;</w:t>
      </w:r>
      <w:r>
        <w:t>]</w:t>
      </w:r>
    </w:p>
    <w:p>
      <w:pPr>
        <w:pStyle w:val="kar_subsection"/>
      </w:pPr>
      <w:r>
        <w:t>[</w:t>
      </w:r>
      <w:r>
        <w:rPr>
          <w:strike w:val="true"/>
        </w:rPr>
        <w:t xml:space="preserve">(6)</w:t>
      </w:r>
      <w:r>
        <w:t>]</w:t>
      </w:r>
      <w:r>
        <w:t xml:space="preserve"> </w:t>
      </w:r>
      <w:r>
        <w:t>[</w:t>
      </w:r>
      <w:r>
        <w:rPr>
          <w:strike w:val="true"/>
        </w:rPr>
        <w:t xml:space="preserve">Speaker Request Form;</w:t>
      </w:r>
      <w:r>
        <w:t>]</w:t>
      </w:r>
    </w:p>
    <w:p>
      <w:pPr>
        <w:pStyle w:val="kar_subsection"/>
      </w:pPr>
      <w:r>
        <w:t>[</w:t>
      </w:r>
      <w:r>
        <w:rPr>
          <w:strike w:val="true"/>
        </w:rPr>
        <w:t xml:space="preserve">(7)</w:t>
      </w:r>
      <w:r>
        <w:t>]</w:t>
      </w:r>
      <w:r>
        <w:t xml:space="preserve"> </w:t>
      </w:r>
      <w:r>
        <w:t>[</w:t>
      </w:r>
      <w:r>
        <w:rPr>
          <w:strike w:val="true"/>
        </w:rPr>
        <w:t xml:space="preserve">Minors on Premises Request Form; and</w:t>
      </w:r>
      <w:r>
        <w:t>]</w:t>
      </w:r>
    </w:p>
    <w:p>
      <w:pPr>
        <w:pStyle w:val="kar_subsection"/>
      </w:pPr>
      <w:r>
        <w:t>[</w:t>
      </w:r>
      <w:r>
        <w:rPr>
          <w:strike w:val="true"/>
        </w:rPr>
        <w:t xml:space="preserve">(8)</w:t>
      </w:r>
      <w:r>
        <w:t>]</w:t>
      </w:r>
      <w:r>
        <w:t xml:space="preserve"> </w:t>
      </w:r>
      <w:r>
        <w:t>[</w:t>
      </w:r>
      <w:r>
        <w:rPr>
          <w:strike w:val="true"/>
        </w:rPr>
        <w:t xml:space="preserve">Private Event Request Form</w:t>
      </w:r>
      <w:r>
        <w:t>]</w:t>
      </w:r>
      <w:r>
        <w:t xml:space="preserv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"Online Product Registration Portal", June 2017;</w:t>
      </w:r>
    </w:p>
    <w:p>
      <w:pPr>
        <w:pStyle w:val="kar_paragraph"/>
      </w:pPr>
      <w:r>
        <w:t xml:space="preserve">(b)</w:t>
      </w:r>
      <w:r>
        <w:t xml:space="preserve"> </w:t>
      </w:r>
      <w:r>
        <w:t xml:space="preserve">"Dormancy Request Form", </w:t>
      </w:r>
      <w:r>
        <w:rPr>
          <w:u w:val="single"/>
        </w:rPr>
        <w:t xml:space="preserve">November 2024</w:t>
      </w:r>
      <w:r>
        <w:t>[</w:t>
      </w:r>
      <w:r>
        <w:rPr>
          <w:strike w:val="true"/>
        </w:rPr>
        <w:t xml:space="preserve">June 2017</w:t>
      </w:r>
      <w:r>
        <w:t>]</w:t>
      </w:r>
      <w:r>
        <w:t xml:space="preserve">;</w:t>
      </w:r>
    </w:p>
    <w:p>
      <w:pPr>
        <w:pStyle w:val="kar_paragraph"/>
      </w:pPr>
      <w:r>
        <w:t xml:space="preserve">(c)</w:t>
      </w:r>
      <w:r>
        <w:t xml:space="preserve"> </w:t>
      </w:r>
      <w:r>
        <w:t xml:space="preserve">"Non-Transfer Affidavit Form", June 2017;</w:t>
      </w:r>
      <w:r>
        <w:rPr>
          <w:u w:val="single"/>
        </w:rPr>
        <w:t xml:space="preserve"> and</w:t>
      </w:r>
    </w:p>
    <w:p>
      <w:pPr>
        <w:pStyle w:val="kar_paragraph"/>
      </w:pPr>
      <w:r>
        <w:t>[</w:t>
      </w:r>
      <w:r>
        <w:rPr>
          <w:strike w:val="true"/>
        </w:rPr>
        <w:t xml:space="preserve">(d)</w:t>
      </w:r>
      <w:r>
        <w:t>]</w:t>
      </w:r>
      <w:r>
        <w:t xml:space="preserve"> </w:t>
      </w:r>
      <w:r>
        <w:t>[</w:t>
      </w:r>
      <w:r>
        <w:rPr>
          <w:strike w:val="true"/>
        </w:rPr>
        <w:t xml:space="preserve">"Credit/Debit Payment Form", June 2017;]</w:t>
      </w:r>
      <w:r>
        <w:t>]</w:t>
      </w:r>
    </w:p>
    <w:p>
      <w:pPr>
        <w:pStyle w:val="kar_paragraph"/>
      </w:pPr>
      <w:r>
        <w:rPr>
          <w:u w:val="single"/>
        </w:rPr>
        <w:t xml:space="preserve">(d)</w:t>
      </w:r>
      <w:r>
        <w:t>[</w:t>
      </w:r>
      <w:r>
        <w:rPr>
          <w:strike w:val="true"/>
        </w:rPr>
        <w:t xml:space="preserve">(e)</w:t>
      </w:r>
      <w:r>
        <w:t>]</w:t>
      </w:r>
      <w:r>
        <w:t xml:space="preserve"> </w:t>
      </w:r>
      <w:r>
        <w:t xml:space="preserve">"Refund Request Form", </w:t>
      </w:r>
      <w:r>
        <w:rPr>
          <w:u w:val="single"/>
        </w:rPr>
        <w:t xml:space="preserve">November 2024</w:t>
      </w:r>
      <w:r>
        <w:t>[</w:t>
      </w:r>
      <w:r>
        <w:rPr>
          <w:strike w:val="true"/>
        </w:rPr>
        <w:t xml:space="preserve">June 2017</w:t>
      </w:r>
      <w:r>
        <w:t>]</w:t>
      </w:r>
      <w:r>
        <w:t xml:space="preserve">;</w:t>
      </w:r>
    </w:p>
    <w:p>
      <w:pPr>
        <w:pStyle w:val="kar_paragraph"/>
      </w:pPr>
      <w:r>
        <w:t>[</w:t>
      </w:r>
      <w:r>
        <w:rPr>
          <w:strike w:val="true"/>
        </w:rPr>
        <w:t xml:space="preserve">(f)</w:t>
      </w:r>
      <w:r>
        <w:t>]</w:t>
      </w:r>
      <w:r>
        <w:t xml:space="preserve"> </w:t>
      </w:r>
      <w:r>
        <w:t>[</w:t>
      </w:r>
      <w:r>
        <w:rPr>
          <w:strike w:val="true"/>
        </w:rPr>
        <w:t xml:space="preserve">"Law Book Order Form", June 2017;</w:t>
      </w:r>
      <w:r>
        <w:t>]</w:t>
      </w:r>
    </w:p>
    <w:p>
      <w:pPr>
        <w:pStyle w:val="kar_paragraph"/>
      </w:pPr>
      <w:r>
        <w:t>[</w:t>
      </w:r>
      <w:r>
        <w:rPr>
          <w:strike w:val="true"/>
        </w:rPr>
        <w:t xml:space="preserve">(g)</w:t>
      </w:r>
      <w:r>
        <w:t>]</w:t>
      </w:r>
      <w:r>
        <w:t xml:space="preserve"> </w:t>
      </w:r>
      <w:r>
        <w:t>[</w:t>
      </w:r>
      <w:r>
        <w:rPr>
          <w:strike w:val="true"/>
        </w:rPr>
        <w:t xml:space="preserve">"Speaker Request Form", June 2017;</w:t>
      </w:r>
      <w:r>
        <w:t>]</w:t>
      </w:r>
    </w:p>
    <w:p>
      <w:pPr>
        <w:pStyle w:val="kar_paragraph"/>
      </w:pPr>
      <w:r>
        <w:t>[</w:t>
      </w:r>
      <w:r>
        <w:rPr>
          <w:strike w:val="true"/>
        </w:rPr>
        <w:t xml:space="preserve">(h)</w:t>
      </w:r>
      <w:r>
        <w:t>]</w:t>
      </w:r>
      <w:r>
        <w:t xml:space="preserve"> </w:t>
      </w:r>
      <w:r>
        <w:t>[</w:t>
      </w:r>
      <w:r>
        <w:rPr>
          <w:strike w:val="true"/>
        </w:rPr>
        <w:t xml:space="preserve">"Minors on Premises Request Form", June 2017; and</w:t>
      </w:r>
      <w:r>
        <w:t>]</w:t>
      </w:r>
    </w:p>
    <w:p>
      <w:pPr>
        <w:pStyle w:val="kar_paragraph"/>
      </w:pPr>
      <w:r>
        <w:t>[</w:t>
      </w:r>
      <w:r>
        <w:rPr>
          <w:strike w:val="true"/>
        </w:rPr>
        <w:t xml:space="preserve">(i)</w:t>
      </w:r>
      <w:r>
        <w:t>]</w:t>
      </w:r>
      <w:r>
        <w:t xml:space="preserve"> </w:t>
      </w:r>
      <w:r>
        <w:t>[</w:t>
      </w:r>
      <w:r>
        <w:rPr>
          <w:strike w:val="true"/>
        </w:rPr>
        <w:t xml:space="preserve">"Private Event Request Form", June 2017</w:t>
      </w:r>
      <w:r>
        <w:t>]</w:t>
      </w:r>
      <w:r>
        <w:t xml:space="preserve">.</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2NE33, Frankfort, Kentucky 40601, Monday through Friday, 8 a.m. to 4:30 p.m. This material is also available on the department's Web site: http://www.abc.ky.gov.</w:t>
      </w:r>
    </w:p>
    <w:p>
      <w:pPr>
        <w:pStyle w:val="kar_signature"/>
      </w:pPr>
      <w:r>
        <w:t xml:space="preserve">ALLYSON C TAYLOR, Commissioner</w:t>
      </w:r>
    </w:p>
    <w:p>
      <w:pPr>
        <w:pStyle w:val="kar_signature"/>
      </w:pPr>
      <w:r>
        <w:t xml:space="preserve">RAY PERRY, Secretary</w:t>
      </w:r>
    </w:p>
    <w:p>
      <w:pPr>
        <w:pStyle w:val="kar_normal"/>
      </w:pPr>
      <w:r>
        <w:t xml:space="preserve"/>
      </w:r>
    </w:p>
    <w:p>
      <w:pPr>
        <w:pStyle w:val="kar_approved_by"/>
      </w:pPr>
      <w:r>
        <w:t xml:space="preserve">APPROVED BY AGENCY: December 13, 2024</w:t>
      </w:r>
    </w:p>
    <w:p>
      <w:pPr>
        <w:pStyle w:val="kar_filed"/>
      </w:pPr>
      <w:r>
        <w:t xml:space="preserve">FILED WITH LRC: December 20, 2024 at 2:50 p.m.</w:t>
      </w:r>
    </w:p>
    <w:p>
      <w:pPr>
        <w:pStyle w:val="kar_normal"/>
      </w:pPr>
      <w:r>
        <w:t xml:space="preserve"/>
      </w:r>
    </w:p>
    <w:p>
      <w:pPr>
        <w:pStyle w:val="kar_comment_period"/>
      </w:pPr>
      <w:r>
        <w:t xml:space="preserve">PUBLIC HEARING AND PUBLIC COMMENT PERIOD: A public hearing on this administrative regulation shall be held on March 25, 2025, at 9:00 a.m. EST, at 500 Mero Street, Room 127CW,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2025. Send written notification of intent to be heard at the public hearing or written comments on the proposed administrative regulation to the contact person.</w:t>
      </w:r>
    </w:p>
    <w:p>
      <w:pPr>
        <w:pStyle w:val="kar_contact_person"/>
      </w:pPr>
      <w:r>
        <w:t xml:space="preserve">CONTACT PERSON: Joshua Newton, Title: General Counsel, Department of Alcoholic Beverage Control Address: 500 Mero Street, 2 NE #226, Frankfort, KY 40601, Phone: (502) 782-0770, Fax: (502) 564-4850, Email: Joshua.Newton@ky.gov</w:t>
      </w:r>
    </w:p>
    <w:p>
      <w:pPr>
        <w:pStyle w:val="kar_form_name"/>
      </w:pPr>
      <w:r>
        <w:t xml:space="preserve">REGULATORY IMPACT ANALYSIS AND TIERING STATEMENT</w:t>
      </w:r>
    </w:p>
    <w:p>
      <w:pPr>
        <w:pStyle w:val="kar_normal"/>
        <w:ind w:left="0"/>
      </w:pPr>
      <w:r>
        <w:t xml:space="preserve">Contact Person:</w:t>
      </w:r>
      <w:r>
        <w:t xml:space="preserve"> Joshua Newton Phone: 502-782-0770</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forms to be used to register product brands and flavors.</w:t>
      </w:r>
    </w:p>
    <w:p>
      <w:pPr>
        <w:pStyle w:val="kar_normal"/>
        <w:ind w:left="576"/>
      </w:pPr>
      <w:r>
        <w:t xml:space="preserve">(b) The necessity of this administrative regulation:</w:t>
      </w:r>
    </w:p>
    <w:p>
      <w:pPr>
        <w:pStyle w:val="kar_normal"/>
        <w:ind w:left="720"/>
      </w:pPr>
      <w:r>
        <w:t xml:space="preserve">This regulation is necessary to guide members of the alcohol industry to the appropriate forms to register product brands and flavors.</w:t>
      </w:r>
    </w:p>
    <w:p>
      <w:pPr>
        <w:pStyle w:val="kar_normal"/>
        <w:ind w:left="576"/>
      </w:pPr>
      <w:r>
        <w:t xml:space="preserve">(c) How this administrative regulation conforms to the content of the authorizing statutes:</w:t>
      </w:r>
    </w:p>
    <w:p>
      <w:pPr>
        <w:pStyle w:val="kar_normal"/>
        <w:ind w:left="720"/>
      </w:pPr>
      <w:r>
        <w:t xml:space="preserve">KRS 244.440 and KRS 244.585 require producers and importers to register product brands and flavors before offered for sale in the state. KRS 13A.110 provides that the board shall include, in regulation, all forms which the department requires to be completed and filed. This administrative regulation prescribes product registrations and forms utilized by the department.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agency has the duty to provide producers and importers the means necessary to register brands and flavors before offering them for sale in the state. This regulation points them to the appropriate form to comply with this requirement.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outlines the brand registration forms accessible on the agency’s website.</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incorporate the required brand registration forms.</w:t>
      </w:r>
    </w:p>
    <w:p>
      <w:pPr>
        <w:pStyle w:val="kar_normal"/>
        <w:ind w:left="576"/>
      </w:pPr>
      <w:r>
        <w:t xml:space="preserve">(c) How the amendment conforms to the content of the authorizing statutes:</w:t>
      </w:r>
    </w:p>
    <w:p>
      <w:pPr>
        <w:pStyle w:val="kar_normal"/>
        <w:ind w:left="720"/>
      </w:pPr>
      <w:r>
        <w:t xml:space="preserve">This amendment reflects the updated forms to accomplish this statutory mandate.</w:t>
      </w:r>
    </w:p>
    <w:p>
      <w:pPr>
        <w:pStyle w:val="kar_normal"/>
        <w:ind w:left="576"/>
      </w:pPr>
      <w:r>
        <w:t xml:space="preserve">(d) How the amendment will assist in the effective administration of the statutes:</w:t>
      </w:r>
    </w:p>
    <w:p>
      <w:pPr>
        <w:pStyle w:val="kar_normal"/>
        <w:ind w:left="720"/>
      </w:pPr>
      <w:r>
        <w:t xml:space="preserve">KRS 244.440 and KRS 244.585 require producers and importers to register product brands and flavors before offered for sale in the state. KRS 13A.110 provides that the board shall include, in regulation, all forms which the department requires to be completed and filed. This administrative regulation prescribes product registrations and forms utilized by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over 220,000 brands registered in Kentucky. These brands are registered by businesses through use of the online portal.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alcohol producers listed will continue to register their brands online.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or expenses associated with brand registration.</w:t>
      </w:r>
    </w:p>
    <w:p>
      <w:pPr>
        <w:pStyle w:val="kar_normal"/>
        <w:ind w:left="576"/>
      </w:pPr>
      <w:r>
        <w:t xml:space="preserve">(c) As a result of compliance, what benefits will accrue to the entities identified in question (3):</w:t>
      </w:r>
    </w:p>
    <w:p>
      <w:pPr>
        <w:pStyle w:val="kar_normal"/>
        <w:ind w:left="720"/>
      </w:pPr>
      <w:r>
        <w:t xml:space="preserve">By providing online brand registration, these entities have realized a positive impact in that brands are registered in a much quicker and streamlined process than paper forms and mail. This amendment merely updates and formally codifies the online registration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agency for the brand registration site.</w:t>
      </w:r>
    </w:p>
    <w:p>
      <w:pPr>
        <w:pStyle w:val="kar_normal"/>
        <w:ind w:left="576"/>
      </w:pPr>
      <w:r>
        <w:t xml:space="preserve">(b) On a continuing basis:</w:t>
      </w:r>
    </w:p>
    <w:p>
      <w:pPr>
        <w:pStyle w:val="kar_normal"/>
        <w:ind w:left="720"/>
      </w:pPr>
      <w:r>
        <w:t xml:space="preserve">There are no additional continuing costs to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agency utilizes licensing fees to meet its licensing and enforcement obligations.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 either directly or indirectly.</w:t>
      </w:r>
    </w:p>
    <w:p>
      <w:pPr>
        <w:pStyle w:val="kar_normal"/>
        <w:ind w:left="288"/>
      </w:pPr>
      <w:r>
        <w:t xml:space="preserve">(9) TIERING: Is tiering applied?</w:t>
      </w:r>
    </w:p>
    <w:p>
      <w:pPr>
        <w:pStyle w:val="kar_normal"/>
        <w:ind w:left="432"/>
      </w:pPr>
      <w:r>
        <w:t xml:space="preserve">There is no tiering applied as this amendment is simply to update forms used online for licensing applications and renewals.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241.060(1) authorizes the board to promulgate reasonable regulations involving licensing, and KRS 13A.110 provides a statutory mandate that forms for license applications be promulgated.</w:t>
      </w:r>
    </w:p>
    <w:p>
      <w:pPr>
        <w:pStyle w:val="kar_normal"/>
        <w:ind w:left="288"/>
      </w:pPr>
      <w:r>
        <w:t xml:space="preserve">(2) Identify the promulgating agency and any other affected state units, parts, or divisions:</w:t>
      </w:r>
    </w:p>
    <w:p>
      <w:pPr>
        <w:pStyle w:val="kar_normal"/>
        <w:ind w:left="432"/>
      </w:pPr>
      <w:r>
        <w:t xml:space="preserve">Kentucky Department of Alcoholic Beverage Control.</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is to update forms incorporated by reference and will result in no changes to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The change in the forms online will not affect any local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updates materials incorporated by reference and does not affect expenditures, revenues, or costs.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related to this amendment.</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incorporating the online forms used to apply for and renew direct-to-consumer shipping licenses, has no negative or adverse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These forms make applying for and renewing licenses easier and faster while costing the applicant nothing to utilize them.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fe5bd5ebe94e70" /><Relationship Type="http://schemas.openxmlformats.org/officeDocument/2006/relationships/settings" Target="/word/settings.xml" Id="R314b08b48a274aee" /></Relationships>
</file>