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423731b1484bd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and his or her personal belongings that are small enough to be carried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or current treatment recommendations;</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(2)</w:t>
      </w:r>
      <w:r>
        <w:t xml:space="preserve"> </w:t>
      </w:r>
      <w:r>
        <w:t xml:space="preserve">The daily rates for therapeutic or treatment foster care shall be:</w:t>
      </w:r>
    </w:p>
    <w:p>
      <w:pPr>
        <w:pStyle w:val="kar_paragraph"/>
      </w:pPr>
      <w:r>
        <w:t xml:space="preserve">(a)</w:t>
      </w:r>
      <w:r>
        <w:t xml:space="preserve"> </w:t>
      </w:r>
      <w:r>
        <w:t xml:space="preserve">Level II - </w:t>
      </w:r>
      <w:r>
        <w:rPr>
          <w:u w:val="single"/>
        </w:rPr>
        <w:t xml:space="preserve">$108.55</w:t>
      </w:r>
      <w:r>
        <w:t>[</w:t>
      </w:r>
      <w:r>
        <w:rPr>
          <w:strike w:val="true"/>
        </w:rPr>
        <w:t xml:space="preserve">$99.50</w:t>
      </w:r>
      <w:r>
        <w:t>]</w:t>
      </w:r>
      <w:r>
        <w:t xml:space="preserve"> per child; and</w:t>
      </w:r>
    </w:p>
    <w:p>
      <w:pPr>
        <w:pStyle w:val="kar_paragraph"/>
      </w:pPr>
      <w:r>
        <w:t xml:space="preserve">(b)</w:t>
      </w:r>
      <w:r>
        <w:t xml:space="preserve"> </w:t>
      </w:r>
      <w:r>
        <w:t xml:space="preserve">Level III - </w:t>
      </w:r>
      <w:r>
        <w:rPr>
          <w:u w:val="single"/>
        </w:rPr>
        <w:t xml:space="preserve">$156.34</w:t>
      </w:r>
      <w:r>
        <w:t>[</w:t>
      </w:r>
      <w:r>
        <w:rPr>
          <w:strike w:val="true"/>
        </w:rPr>
        <w:t xml:space="preserve">$139.96</w:t>
      </w:r>
      <w:r>
        <w:t>]</w:t>
      </w:r>
      <w:r>
        <w:t xml:space="preserve"> per child.</w:t>
      </w:r>
    </w:p>
    <w:p>
      <w:pPr>
        <w:pStyle w:val="kar_subsection"/>
      </w:pPr>
      <w:r>
        <w:t xml:space="preserve">(3)</w:t>
      </w:r>
      <w:r>
        <w:t xml:space="preserve"> </w:t>
      </w:r>
      <w:r>
        <w:t xml:space="preserve">A private agency foster home shall not receive a per diem that is less than the corresponding public foster home per diem published at https://www.chfs.ky.gov/agencies/dcbs/dpp/Documents/stateagencyfostercareperdiemrates.pdf.</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w:t>
      </w:r>
      <w:r>
        <w:rPr>
          <w:u w:val="single"/>
        </w:rPr>
        <w:t xml:space="preserve">01/25</w:t>
      </w:r>
      <w:r>
        <w:t>[</w:t>
      </w:r>
      <w:r>
        <w:rPr>
          <w:strike w:val="true"/>
        </w:rPr>
        <w:t xml:space="preserve">09/23</w:t>
      </w:r>
      <w:r>
        <w:t>]</w:t>
      </w:r>
      <w:r>
        <w:t xml:space="preserve">; and</w:t>
      </w:r>
    </w:p>
    <w:p>
      <w:pPr>
        <w:pStyle w:val="kar_paragraph"/>
      </w:pPr>
      <w:r>
        <w:t xml:space="preserve">(g)</w:t>
      </w:r>
      <w:r>
        <w:t xml:space="preserve"> </w:t>
      </w:r>
      <w:r>
        <w:t xml:space="preserve">"DPP-888, Instructions for Completing the Annual Cost Report and Time Study for Child Caring and Child Placing Programs and Facilities", 09/23.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January 21, 2025</w:t>
      </w:r>
    </w:p>
    <w:p>
      <w:pPr>
        <w:pStyle w:val="kar_filed"/>
      </w:pPr>
      <w:r>
        <w:t xml:space="preserve">FILED WITH LRC: January 22, 2025 at 8:43 a.m.</w:t>
      </w:r>
    </w:p>
    <w:p>
      <w:pPr>
        <w:pStyle w:val="kar_normal"/>
      </w:pPr>
      <w:r>
        <w:t xml:space="preserve"/>
      </w:r>
    </w:p>
    <w:p>
      <w:pPr>
        <w:pStyle w:val="kar_comment_period"/>
      </w:pPr>
      <w:r>
        <w:t xml:space="preserve">PUBLIC HEARING AND PUBLIC COMMENT PERIOD: A public hearing on this administrative regulation shall, if requested, be held on April 21,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14,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Rachael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Information from providers requests that a rate increase be implemented as soon as possible as private child-placing agencies for Level II and Level III therapeutic foster care to meet the increased need for behavioral health services for children with complex needs.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to ensure the availability of adequate resources for youth with specialized needs, promote stability in placements, and reduce the number of children without appropriate care. By aligning financial support with the heightened demands of these placements, this measure seeks to improve outcomes for youth, enhance recruitment and retention of foster families, and strengthen the overall capacity of Kentucky’s child welfare system.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The amended administrative regulation conforms to the authorizing statutes by ensuring that children with complex needs are placed in the most appropriate, least restrictive setting. Additionally, this amendment increases the daily rate for private child placing agencies are reimbursed at a rate to meet the needs of the child.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for children with complex needs who require a higher level of care.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 for state fiscal year 2025 and 2026. The administrative body is projecting a total cost of $15,000,000 for state fiscal years 2025 and 2026.</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a comprehensive service array within available funding. The possibility of an additional budget request exists beginning in state fiscal year 2027 to continue the per diem increase and provide adequate services to children with the highest needs.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amended administrative regulation is implemented through a combination of state General Funds, federal Title IV-E (of the Social Security Act) foster care maintenance and restricted funds derived from Medicaid Title V.</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as funding was appropriated in House Bill 6 for state fiscal years 2025 and 2026.</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$5,000,000</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emergency administrative regulation is projected to cost $10,000,000 for state fiscal year 2026. There is not anticipated revenue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576"/>
      </w:pPr>
      <w:r>
        <w:t xml:space="preserve">(a) Estimate the following for the first year:</w:t>
      </w:r>
    </w:p>
    <w:p>
      <w:pPr>
        <w:pStyle w:val="kar_normal"/>
        <w:ind w:left="864"/>
      </w:pPr>
      <w:r>
        <w:t xml:space="preserve">Expenditures:</w:t>
      </w:r>
      <w:r>
        <w:t xml:space="preserve"> No expenditures are anticipated.</w:t>
      </w:r>
    </w:p>
    <w:p>
      <w:pPr>
        <w:pStyle w:val="kar_normal"/>
        <w:ind w:left="864"/>
      </w:pPr>
      <w:r>
        <w:t xml:space="preserve">Revenues:</w:t>
      </w:r>
      <w:r>
        <w:t xml:space="preserve"> No revenues are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There are no costs to affected entities. In subsequent years, affected entities will continue to receive a per diem rate increase through this amendment for children with complex needs, requiring a higher level of care. Children in the state’s custody will benefit from having more placement options and providers that can provide the level of care they need. It is anticipated that this rate increase to therapeutic foster care levels II and III will be of benefit to the children placed in these homes through more stable placements that are specifically trained to care for children with higher therapeutic or medical needs.</w:t>
      </w:r>
    </w:p>
    <w:p>
      <w:pPr>
        <w:pStyle w:val="kar_normal"/>
        <w:ind w:left="288"/>
      </w:pPr>
      <w:r>
        <w:t xml:space="preserve">(4) Identify additional regulated entities not listed in questions (2) or (3):</w:t>
      </w:r>
    </w:p>
    <w:p>
      <w:pPr>
        <w:pStyle w:val="kar_normal"/>
        <w:ind w:left="432"/>
      </w:pPr>
      <w:r>
        <w:t xml:space="preserve">There are no additional regulated entities not listed in response to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cost an estimated $5,000,000 for the remainder of state fiscal year 2025 and $10,000,000 for state fiscal year 2026.</w:t>
      </w:r>
    </w:p>
    <w:p>
      <w:pPr>
        <w:pStyle w:val="kar_normal"/>
        <w:ind w:left="576"/>
      </w:pPr>
      <w:r>
        <w:t xml:space="preserve">(b) Methodology and resources used to determine the fiscal impact:</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proposed amended administrative regulation is estimated to have a fiscal impact of $5,000,000 to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db4d743c3401f" /><Relationship Type="http://schemas.openxmlformats.org/officeDocument/2006/relationships/settings" Target="/word/settings.xml" Id="R0093d43a220f4e0b" /></Relationships>
</file>