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cf6d257b924c1b"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314.039, 314.042, 314.091, 314.195, 314.475</w:t>
      </w:r>
    </w:p>
    <w:p>
      <w:pPr>
        <w:pStyle w:val="kar_markup_metadata"/>
      </w:pPr>
      <w:r>
        <w:t xml:space="preserve">STATUTORY AUTHORITY: </w:t>
      </w:r>
      <w:r>
        <w:t xml:space="preserve">KRS 218A.205(3)(a), (b), 314.042, 314.131(1)</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(APRN) and a physician in the provision of prescription medication, including both autonomous and cooperative decision-making, with the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required by KRS 314.042(12).</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member"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Adult-Gerontology and Pediatric Acute Care Nurse Practitioner;</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the Practice of Midwifery;</w:t>
      </w:r>
    </w:p>
    <w:p>
      <w:pPr>
        <w:pStyle w:val="kar_paragraph"/>
      </w:pPr>
      <w:r>
        <w:t xml:space="preserve">(l)</w:t>
      </w:r>
      <w:r>
        <w:t xml:space="preserve"> </w:t>
      </w:r>
      <w:r>
        <w:t xml:space="preserve">Oncology Nursing Scope and Standards of Practice;</w:t>
      </w:r>
    </w:p>
    <w:p>
      <w:pPr>
        <w:pStyle w:val="kar_paragraph"/>
      </w:pPr>
      <w:r>
        <w:t xml:space="preserve">(m)</w:t>
      </w:r>
      <w:r>
        <w:t xml:space="preserve"> </w:t>
      </w:r>
      <w:r>
        <w:t xml:space="preserve">The Women's Health Nurse Practitioner: Guidelines for Practice and Education;</w:t>
      </w:r>
    </w:p>
    <w:p>
      <w:pPr>
        <w:pStyle w:val="kar_paragraph"/>
      </w:pPr>
      <w:r>
        <w:t xml:space="preserve">(n)</w:t>
      </w:r>
      <w:r>
        <w:t xml:space="preserve"> </w:t>
      </w:r>
      <w:r>
        <w:t xml:space="preserve">Definition of Midwifery and Scope of Practice of Certified Nurse-Midwives and Certified Midwives; and</w:t>
      </w:r>
    </w:p>
    <w:p>
      <w:pPr>
        <w:pStyle w:val="kar_paragraph"/>
      </w:pPr>
      <w:r>
        <w:t xml:space="preserve">(o)</w:t>
      </w:r>
      <w:r>
        <w:t xml:space="preserve"> </w:t>
      </w:r>
      <w:r>
        <w:t xml:space="preserve">Standards for Professional Nursing Practice in the Care of Women, Newborns, and People Across the Life Span.</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shall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the term of the CAPA-CS, the APRN and the collaborating physician shall meet in person or via video conferencing, or by phone if in person or video conferencing is not feasible, to review the APRN's reverse PDMP queries since the last review with the collaborating physician.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written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the discussions; and</w:t>
      </w:r>
    </w:p>
    <w:p>
      <w:pPr>
        <w:pStyle w:val="kar_subparagraph"/>
      </w:pPr>
      <w:r>
        <w:t xml:space="preserve">3.</w:t>
      </w:r>
      <w:r>
        <w:t xml:space="preserve"> </w:t>
      </w:r>
      <w:r>
        <w:t xml:space="preserve">Any recommendations made.</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 Form.</w:t>
      </w:r>
    </w:p>
    <w:p>
      <w:pPr>
        <w:pStyle w:val="kar_paragraph"/>
      </w:pPr>
      <w:r>
        <w:t xml:space="preserve">(c)</w:t>
      </w:r>
      <w:r>
        <w:t xml:space="preserve"> </w:t>
      </w:r>
      <w:r>
        <w:t xml:space="preserve">An APRN shall use the Standardized CAPA-CS Agreement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 as established in paragraph (e) of this subsection.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 as established in paragraph (e) of this subsection.</w:t>
      </w:r>
    </w:p>
    <w:p>
      <w:pPr>
        <w:pStyle w:val="kar_paragraph"/>
      </w:pPr>
      <w:r>
        <w:t xml:space="preserve">(c)</w:t>
      </w:r>
      <w:r>
        <w:t xml:space="preserve"> </w:t>
      </w:r>
      <w:r>
        <w:t xml:space="preserve">To notify the board of the existence of a CAPA-CS pursuant to KRS 314.042(11)(b), the APRN shall submit an online notification as established in paragraph (e) of this subsection.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Each notification, recission, and exemption request shall be submitted by the APRN to the board via the online KBN Nurse Portal at www.kbn.ky.gov, and shall include the information and documentation required by subsection (1) of this section and this subsection.</w:t>
      </w:r>
    </w:p>
    <w:p>
      <w:pPr>
        <w:pStyle w:val="kar_paragraph"/>
      </w:pPr>
      <w:r>
        <w:t xml:space="preserve">(f)</w:t>
      </w:r>
      <w:r>
        <w:t xml:space="preserve"> </w:t>
      </w:r>
      <w:r>
        <w:t xml:space="preserve">Upon request by the board, the APRN shall furnish to the board a copy of the executed CAPA-NS Agreement Form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situation and the scope of the APRN's and the physician's actual practice.</w:t>
      </w:r>
    </w:p>
    <w:p>
      <w:pPr>
        <w:pStyle w:val="kar_subsection"/>
      </w:pPr>
      <w:r>
        <w:t xml:space="preserve">(4)</w:t>
      </w:r>
      <w:r>
        <w:t xml:space="preserve"> </w:t>
      </w:r>
      <w:r>
        <w:t xml:space="preserve">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on the board's Web 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the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Chapter 13B within twenty (20) days of receiving written notification of the denial. If a hearing is requested and the order of the board is adverse to the advance practice registered nurse, the board may impose costs pursuant to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The date and time of therequest and review of each PDMP query.</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query and review the PDMP 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(f)</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Member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member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Adult-Gerontology and Pediatric Acute Care Nurse Practitioners", 2021 Edition, American Association of Critical-Care Nurses;</w:t>
      </w:r>
    </w:p>
    <w:p>
      <w:pPr>
        <w:pStyle w:val="kar_paragraph"/>
      </w:pPr>
      <w:r>
        <w:t xml:space="preserve">(b)</w:t>
      </w:r>
      <w:r>
        <w:t xml:space="preserve"> </w:t>
      </w:r>
      <w:r>
        <w:t xml:space="preserve">"AACN Scope and Standards for Acute Care Clinical Nurse Specialist Practice", 2022 Edition, American Association of Critical-Care Nurses;</w:t>
      </w:r>
    </w:p>
    <w:p>
      <w:pPr>
        <w:pStyle w:val="kar_paragraph"/>
      </w:pPr>
      <w:r>
        <w:t xml:space="preserve">(c)</w:t>
      </w:r>
      <w:r>
        <w:t xml:space="preserve"> </w:t>
      </w:r>
      <w:r>
        <w:t xml:space="preserve">"Neonatal Nursing: Scope and Standards of Practice", 2021, 3rd Edition, American Nurses Association/ National Association of Neonatal Nurses;</w:t>
      </w:r>
    </w:p>
    <w:p>
      <w:pPr>
        <w:pStyle w:val="kar_paragraph"/>
      </w:pPr>
      <w:r>
        <w:t xml:space="preserve">(d)</w:t>
      </w:r>
      <w:r>
        <w:t xml:space="preserve"> </w:t>
      </w:r>
      <w:r>
        <w:t xml:space="preserve">"Nursing: Scope and Standards of Practice", 2021, 4th Edition, American Nurses Association;</w:t>
      </w:r>
    </w:p>
    <w:p>
      <w:pPr>
        <w:pStyle w:val="kar_paragraph"/>
      </w:pPr>
      <w:r>
        <w:t xml:space="preserve">(e)</w:t>
      </w:r>
      <w:r>
        <w:t xml:space="preserve"> </w:t>
      </w:r>
      <w:r>
        <w:t xml:space="preserve">"Pediatric Nursing: Scope and Standards of Practice", 2015, 2nd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2022, 3rd Edition, American Nurses Association/ American Psychiatric Nursing Association;</w:t>
      </w:r>
    </w:p>
    <w:p>
      <w:pPr>
        <w:pStyle w:val="kar_paragraph"/>
      </w:pPr>
      <w:r>
        <w:t xml:space="preserve">(g)</w:t>
      </w:r>
      <w:r>
        <w:t xml:space="preserve"> </w:t>
      </w:r>
      <w:r>
        <w:t xml:space="preserve">"Scope of Practice for Nurse Practitioners", 2022 Edition, American Association of Nurse Practitioners;</w:t>
      </w:r>
    </w:p>
    <w:p>
      <w:pPr>
        <w:pStyle w:val="kar_paragraph"/>
      </w:pPr>
      <w:r>
        <w:t xml:space="preserve">(h)</w:t>
      </w:r>
      <w:r>
        <w:t xml:space="preserve"> </w:t>
      </w:r>
      <w:r>
        <w:t xml:space="preserve">"Standards of Practice for Nurse Practitioners", 2022 Edition, American Association of Nurse Practitioners;</w:t>
      </w:r>
    </w:p>
    <w:p>
      <w:pPr>
        <w:pStyle w:val="kar_paragraph"/>
      </w:pPr>
      <w:r>
        <w:t xml:space="preserve">(i)</w:t>
      </w:r>
      <w:r>
        <w:t xml:space="preserve"> </w:t>
      </w:r>
      <w:r>
        <w:t xml:space="preserve">"Scope of Nurse Anesthesia Practice", 2020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the Practice of Midwifery", 2022 Edition, American College of Nurse Midwives;</w:t>
      </w:r>
    </w:p>
    <w:p>
      <w:pPr>
        <w:pStyle w:val="kar_paragraph"/>
      </w:pPr>
      <w:r>
        <w:t xml:space="preserve">(l)</w:t>
      </w:r>
      <w:r>
        <w:t xml:space="preserve"> </w:t>
      </w:r>
      <w:r>
        <w:t xml:space="preserve">"Oncology Nursing Scope and Standards of Practice", 2019 Edition, Oncology Nursing Society;</w:t>
      </w:r>
    </w:p>
    <w:p>
      <w:pPr>
        <w:pStyle w:val="kar_paragraph"/>
      </w:pPr>
      <w:r>
        <w:t xml:space="preserve">(m)</w:t>
      </w:r>
      <w:r>
        <w:t xml:space="preserve"> </w:t>
      </w:r>
      <w:r>
        <w:t xml:space="preserve">"The Women's Health Nurse Practitioner: Guidelines for Practice and Education", 2020, 8th Edition, Association of Women's Health, Obstetric and Neonatal Nurses/Nurse Practitioners in Women's Health;</w:t>
      </w:r>
    </w:p>
    <w:p>
      <w:pPr>
        <w:pStyle w:val="kar_paragraph"/>
      </w:pPr>
      <w:r>
        <w:t xml:space="preserve">(n)</w:t>
      </w:r>
      <w:r>
        <w:t xml:space="preserve"> </w:t>
      </w:r>
      <w:r>
        <w:t xml:space="preserve">"Definition of Midwifery and Scope of Practice of Certified Nurse-Midwives and Certified Midwives", 2021 Edition, American College of Nurse Midwives;</w:t>
      </w:r>
    </w:p>
    <w:p>
      <w:pPr>
        <w:pStyle w:val="kar_paragraph"/>
      </w:pPr>
      <w:r>
        <w:t xml:space="preserve">(o)</w:t>
      </w:r>
      <w:r>
        <w:t xml:space="preserve"> </w:t>
      </w:r>
      <w:r>
        <w:t xml:space="preserve">"Standards for Professional Nursing Practice in the Care of Women, Newborns, and People Across the Life Span", 2023, 9th Edition, Association of Women's Health, Obstetric and Neonatal Nurses;</w:t>
      </w:r>
    </w:p>
    <w:p>
      <w:pPr>
        <w:pStyle w:val="kar_paragraph"/>
      </w:pPr>
      <w:r>
        <w:t xml:space="preserve">(p)</w:t>
      </w:r>
      <w:r>
        <w:t xml:space="preserve"> </w:t>
      </w:r>
      <w:r>
        <w:t xml:space="preserve">"Standardized CAPA-CS Agreement Form", 9/2023; and</w:t>
      </w:r>
    </w:p>
    <w:p>
      <w:pPr>
        <w:pStyle w:val="kar_paragraph"/>
      </w:pPr>
      <w:r>
        <w:t xml:space="preserve">(q)</w:t>
      </w:r>
      <w:r>
        <w:t xml:space="preserve"> </w:t>
      </w:r>
      <w:r>
        <w:t xml:space="preserve">"CAPA-NS Agreement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2168; eff. 7-2-1987; 14 Ky.R. 231; eff. 9-10-1987; 19 Ky.R. 2666; 20 Ky.R. 303; eff. 8-6-1993; 3218; eff. 8-4-1994; 22 Ky.R. 305; eff. 9-20-1995; 23 Ky.R. 3606; 4176; 24 Ky.R. 62; eff. 6-18-1997; 27 Ky.R. 819; eff. 11-17-2000; 29 Ky.R. 2120; 2449; eff. 4-11-2003; 2943; eff. 8-13-2003; 32 Ky.R. 285; eff. 10-19-2005; 33 Ky.R. 511; 1069; eff. 10-18-2006; 34 Ky.R. 1783; 2184; 2278; eff. 5-2-2008; 35 Ky.R. 2790; eff. 8-12-2009; 37 Ky.R. 421; eff. 10-20-2010; 38 Ky.R. 1361; 1549; eff. 3-21-2012; 39 Ky.R. 535; 1185; 1385; eff. 2-1-2013; 39 Ky.R. 2191; 40 Ky.R. 13; eff. 7-17-2013; 2599; 41 Ky.R. 19; eff. 7-16-2014; 1854; 2070; eff. 5-1-2015; 42 Ky.R. 1910; 2372; 2471; eff. 3-10-2016; 43 Ky.R. 1802; eff. 6-21-2017; 44 Ky.R. 270, 740, 916; eff. 11-15-2017; 45 Ky.R. 411, 1044; eff. 11-27-2018.; 46 Ky.R. 2684; 47 Ky.R. 53; eff. 7-29-2020; 48 Ky.R. 529, 1521; eff. 11-23-2021; 50 Ky.R. 862, 1712, 1874; eff. 3-21-2024; 51 Ky.R. 532, 1296, 1429;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d4c8e58de24800" /><Relationship Type="http://schemas.openxmlformats.org/officeDocument/2006/relationships/settings" Target="/word/settings.xml" Id="Raa74d49b866e4382" /></Relationships>
</file>