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88cfb1f2cb4c15" /></Relationships>
</file>

<file path=word/document.xml><?xml version="1.0" encoding="utf-8"?>
<w:document xmlns:w="http://schemas.openxmlformats.org/wordprocessingml/2006/main">
  <w:body>
    <w:p>
      <w:pPr>
        <w:pStyle w:val="kar_citation"/>
      </w:pPr>
      <w:r>
        <w:t>907 KAR 16:025.</w:t>
      </w:r>
      <w:r>
        <w:t xml:space="preserve"> </w:t>
      </w:r>
      <w:r>
        <w:t xml:space="preserve">Recovery, Independence, Support &amp; Engagement Initiative (RISE) Program reimbursement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of the RISE Program for individuals with serious mental illness or substance use disorder.</w:t>
      </w:r>
    </w:p>
    <w:p>
      <w:pPr>
        <w:pStyle w:val="kar_section"/>
      </w:pPr>
      <w:r>
        <w:t xml:space="preserve">Section 1.</w:t>
      </w:r>
      <w:r>
        <w:t xml:space="preserve"> </w:t>
      </w:r>
      <w:r>
        <w:t xml:space="preserve">General Reimbursement Requirements.</w:t>
      </w:r>
    </w:p>
    <w:p>
      <w:pPr>
        <w:pStyle w:val="kar_subsection"/>
      </w:pPr>
      <w:r>
        <w:t xml:space="preserve">(1)</w:t>
      </w:r>
      <w:r>
        <w:t xml:space="preserve"> </w:t>
      </w:r>
      <w:r>
        <w:t xml:space="preserve">For the department to reimburse for a service or item, the requirements of 907 KAR Chapter 16 shall be met.</w:t>
      </w:r>
    </w:p>
    <w:p>
      <w:pPr>
        <w:pStyle w:val="kar_subsection"/>
      </w:pPr>
      <w:r>
        <w:t xml:space="preserve">(2)</w:t>
      </w:r>
      <w:r>
        <w:t xml:space="preserve"> </w:t>
      </w:r>
      <w:r>
        <w:t xml:space="preserve">The department shall reimburse a participating provider for a covered service as established pursuant to the 1915(i) Fee Schedule as available at: https://www.chfs.ky.gov/agencies/dms/Pages/feesrates.aspx.</w:t>
      </w:r>
    </w:p>
    <w:p>
      <w:pPr>
        <w:pStyle w:val="kar_section"/>
      </w:pPr>
      <w:r>
        <w:t xml:space="preserve">Section 2.</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Appeals. A provider may appeal a department decision as to the application of this administrative regulation in accordance with 907 KAR 1:671.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e455d79f3c4d16" /><Relationship Type="http://schemas.openxmlformats.org/officeDocument/2006/relationships/settings" Target="/word/settings.xml" Id="R070fe8b0f9b347da" /></Relationships>
</file>