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70eb1e5bd94164" /></Relationships>
</file>

<file path=word/document.xml><?xml version="1.0" encoding="utf-8"?>
<w:document xmlns:w="http://schemas.openxmlformats.org/wordprocessingml/2006/main">
  <w:body>
    <w:p>
      <w:pPr>
        <w:pStyle w:val="kar_citation"/>
      </w:pPr>
      <w:r>
        <w:t>201 KAR 2:090.</w:t>
      </w:r>
      <w:r>
        <w:t xml:space="preserve"> </w:t>
      </w:r>
      <w:r>
        <w:t xml:space="preserve">Reference material and prescription equipment.</w:t>
      </w:r>
    </w:p>
    <w:p>
      <w:pPr>
        <w:pStyle w:val="kar_markup_metadata"/>
      </w:pPr>
      <w:r>
        <w:t xml:space="preserve">RELATES TO: </w:t>
      </w:r>
      <w:r>
        <w:t xml:space="preserve">KRS Chapter 315</w:t>
      </w:r>
    </w:p>
    <w:p>
      <w:pPr>
        <w:pStyle w:val="kar_markup_metadata"/>
      </w:pPr>
      <w:r>
        <w:t xml:space="preserve">STATUTORY AUTHORITY: </w:t>
      </w:r>
      <w:r>
        <w:t xml:space="preserve">KRS 315.035(6), 315.191</w:t>
      </w:r>
    </w:p>
    <w:p>
      <w:pPr>
        <w:pStyle w:val="kar_markup_metadata"/>
      </w:pPr>
      <w:r>
        <w:t xml:space="preserve">NECESSITY, FUNCTION, AND CONFORMITY: </w:t>
      </w:r>
      <w:r>
        <w:t xml:space="preserve">KRS 315.035(6) authorizes the Board of Pharmacy to promulgate administrative regulations regarding reference material and equipment suitable for pharmaceutical practice. This administrative regulation establishes the reference material and equipment required for pharmaceutical practice.</w:t>
      </w:r>
    </w:p>
    <w:p>
      <w:pPr>
        <w:pStyle w:val="kar_section"/>
      </w:pPr>
      <w:r>
        <w:t xml:space="preserve">Section 1.</w:t>
      </w:r>
      <w:r>
        <w:t xml:space="preserve"> </w:t>
      </w:r>
    </w:p>
    <w:p>
      <w:pPr>
        <w:pStyle w:val="kar_subsection"/>
      </w:pPr>
      <w:r>
        <w:t xml:space="preserve">(1)</w:t>
      </w:r>
      <w:r>
        <w:t xml:space="preserve"> </w:t>
      </w:r>
      <w:r>
        <w:t xml:space="preserve">The pharmacy shall have appropriate reference material and equipment as dictated by experience to meet the needs of the particular pharmacy, and necessary to practice pharmacy in a safe manner.</w:t>
      </w:r>
    </w:p>
    <w:p>
      <w:pPr>
        <w:pStyle w:val="kar_paragraph"/>
      </w:pPr>
      <w:r>
        <w:t xml:space="preserve">(a)</w:t>
      </w:r>
      <w:r>
        <w:t xml:space="preserve"> </w:t>
      </w:r>
      <w:r>
        <w:t xml:space="preserve">Appropriate reference material includes references such as those from the following categories:</w:t>
      </w:r>
    </w:p>
    <w:p>
      <w:pPr>
        <w:pStyle w:val="kar_subparagraph"/>
      </w:pPr>
      <w:r>
        <w:t xml:space="preserve">1.</w:t>
      </w:r>
      <w:r>
        <w:t xml:space="preserve"> </w:t>
      </w:r>
      <w:r>
        <w:t xml:space="preserve">Category I – Pharmacology;</w:t>
      </w:r>
    </w:p>
    <w:p>
      <w:pPr>
        <w:pStyle w:val="kar_subparagraph"/>
      </w:pPr>
      <w:r>
        <w:t xml:space="preserve">2.</w:t>
      </w:r>
      <w:r>
        <w:t xml:space="preserve"> </w:t>
      </w:r>
      <w:r>
        <w:t xml:space="preserve">Category II – Drug Interactions;</w:t>
      </w:r>
    </w:p>
    <w:p>
      <w:pPr>
        <w:pStyle w:val="kar_subparagraph"/>
      </w:pPr>
      <w:r>
        <w:t xml:space="preserve">3.</w:t>
      </w:r>
      <w:r>
        <w:t xml:space="preserve"> </w:t>
      </w:r>
      <w:r>
        <w:t xml:space="preserve">Category III – Drug Product Composition; and</w:t>
      </w:r>
    </w:p>
    <w:p>
      <w:pPr>
        <w:pStyle w:val="kar_subparagraph"/>
      </w:pPr>
      <w:r>
        <w:t xml:space="preserve">4.</w:t>
      </w:r>
      <w:r>
        <w:t xml:space="preserve"> </w:t>
      </w:r>
      <w:r>
        <w:t xml:space="preserve">Category IV – State and Federal Laws and Regulations.</w:t>
      </w:r>
    </w:p>
    <w:p>
      <w:pPr>
        <w:pStyle w:val="kar_paragraph"/>
      </w:pPr>
      <w:r>
        <w:t xml:space="preserve">(b)</w:t>
      </w:r>
      <w:r>
        <w:t xml:space="preserve"> </w:t>
      </w:r>
      <w:r>
        <w:t xml:space="preserve">Appropriate equipment as determined by the pharmacist in charge includes items such as the following:</w:t>
      </w:r>
    </w:p>
    <w:p>
      <w:pPr>
        <w:pStyle w:val="kar_subparagraph"/>
      </w:pPr>
      <w:r>
        <w:t xml:space="preserve">1.</w:t>
      </w:r>
      <w:r>
        <w:t xml:space="preserve"> </w:t>
      </w:r>
      <w:r>
        <w:t xml:space="preserve">A prescription balance with sensitivity not less than that of a Class 3 balance;</w:t>
      </w:r>
    </w:p>
    <w:p>
      <w:pPr>
        <w:pStyle w:val="kar_subparagraph"/>
      </w:pPr>
      <w:r>
        <w:t xml:space="preserve">2.</w:t>
      </w:r>
      <w:r>
        <w:t xml:space="preserve"> </w:t>
      </w:r>
      <w:r>
        <w:t xml:space="preserve">Weights-metric or apothecary-complete set;</w:t>
      </w:r>
    </w:p>
    <w:p>
      <w:pPr>
        <w:pStyle w:val="kar_subparagraph"/>
      </w:pPr>
      <w:r>
        <w:t xml:space="preserve">3.</w:t>
      </w:r>
      <w:r>
        <w:t xml:space="preserve"> </w:t>
      </w:r>
      <w:r>
        <w:t xml:space="preserve">Graduates capable of accurately measuring from 1 ml to 250 ml;</w:t>
      </w:r>
    </w:p>
    <w:p>
      <w:pPr>
        <w:pStyle w:val="kar_subparagraph"/>
      </w:pPr>
      <w:r>
        <w:t xml:space="preserve">4.</w:t>
      </w:r>
      <w:r>
        <w:t xml:space="preserve"> </w:t>
      </w:r>
      <w:r>
        <w:t xml:space="preserve">Mortars and pestles-glass, porcelain, or Wedgewood;</w:t>
      </w:r>
    </w:p>
    <w:p>
      <w:pPr>
        <w:pStyle w:val="kar_subparagraph"/>
      </w:pPr>
      <w:r>
        <w:t xml:space="preserve">5.</w:t>
      </w:r>
      <w:r>
        <w:t xml:space="preserve"> </w:t>
      </w:r>
      <w:r>
        <w:t xml:space="preserve">Spatulas-steel and nonmetallic;</w:t>
      </w:r>
    </w:p>
    <w:p>
      <w:pPr>
        <w:pStyle w:val="kar_subparagraph"/>
      </w:pPr>
      <w:r>
        <w:t xml:space="preserve">6.</w:t>
      </w:r>
      <w:r>
        <w:t xml:space="preserve"> </w:t>
      </w:r>
      <w:r>
        <w:t xml:space="preserve">Filtration funnel with filter papers;</w:t>
      </w:r>
    </w:p>
    <w:p>
      <w:pPr>
        <w:pStyle w:val="kar_subparagraph"/>
      </w:pPr>
      <w:r>
        <w:t xml:space="preserve">7.</w:t>
      </w:r>
      <w:r>
        <w:t xml:space="preserve"> </w:t>
      </w:r>
      <w:r>
        <w:t xml:space="preserve">A heating unit;</w:t>
      </w:r>
    </w:p>
    <w:p>
      <w:pPr>
        <w:pStyle w:val="kar_subparagraph"/>
      </w:pPr>
      <w:r>
        <w:t xml:space="preserve">8.</w:t>
      </w:r>
      <w:r>
        <w:t xml:space="preserve"> </w:t>
      </w:r>
      <w:r>
        <w:t xml:space="preserve">Suitable refrigeration unit for proper storage of drugs; and</w:t>
      </w:r>
    </w:p>
    <w:p>
      <w:pPr>
        <w:pStyle w:val="kar_subparagraph"/>
      </w:pPr>
      <w:r>
        <w:t xml:space="preserve">9.</w:t>
      </w:r>
      <w:r>
        <w:t xml:space="preserve"> </w:t>
      </w:r>
      <w:r>
        <w:t xml:space="preserve">Ointment slab or ointment papers.</w:t>
      </w:r>
    </w:p>
    <w:p>
      <w:pPr>
        <w:pStyle w:val="kar_subsection"/>
      </w:pPr>
      <w:r>
        <w:t xml:space="preserve">(2)</w:t>
      </w:r>
      <w:r>
        <w:t xml:space="preserve"> </w:t>
      </w:r>
      <w:r>
        <w:t xml:space="preserve">Electronic references shall be acceptable.</w:t>
      </w:r>
    </w:p>
    <w:p>
      <w:pPr>
        <w:pStyle w:val="kar_history"/>
        <w:sectPr>
          <w:pgSz w:w="12240" w:h="15840" w:orient="portrait" w:code="1"/>
          <w:pgMar w:top="1080" w:right="1080" w:bottom="1080" w:left="1080" w:header="720" w:footer="720" w:gutter="0"/>
          <w:paperSrc w:first="263" w:other="263"/>
          <w:noEndnote/>
          <w:docGrid w:linePitch="218"/>
        </w:sectPr>
      </w:pPr>
      <w:r>
        <w:t xml:space="preserve">(Rx-10; 1 Ky.R. 147; eff. 12-11-1974; 10 Ky.R. 890; eff. 4-13-1984; 1444; 1792; eff. 2-7-2002; 45 Ky.R. 3449; 46 Ky.R. 410;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6cb03ca5e44776" /><Relationship Type="http://schemas.openxmlformats.org/officeDocument/2006/relationships/settings" Target="/word/settings.xml" Id="Rb9e453c6822a4238" /></Relationships>
</file>