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c00f71e0e34ee5" /></Relationships>
</file>

<file path=word/document.xml><?xml version="1.0" encoding="utf-8"?>
<w:document xmlns:w="http://schemas.openxmlformats.org/wordprocessingml/2006/main">
  <w:body>
    <w:p>
      <w:pPr>
        <w:pStyle w:val="kar_citation"/>
      </w:pPr>
      <w:r>
        <w:t>201 KAR 36:050.</w:t>
      </w:r>
      <w:r>
        <w:t xml:space="preserve"> </w:t>
      </w:r>
      <w:r>
        <w:t xml:space="preserve">Complaint management process.</w:t>
      </w:r>
    </w:p>
    <w:p>
      <w:pPr>
        <w:pStyle w:val="kar_markup_metadata"/>
      </w:pPr>
      <w:r>
        <w:t xml:space="preserve">RELATES TO: </w:t>
      </w:r>
      <w:r>
        <w:t xml:space="preserve">KRS 335.540, 335.545</w:t>
      </w:r>
    </w:p>
    <w:p>
      <w:pPr>
        <w:pStyle w:val="kar_markup_metadata"/>
      </w:pPr>
      <w:r>
        <w:t xml:space="preserve">STATUTORY AUTHORITY: </w:t>
      </w:r>
      <w:r>
        <w:t xml:space="preserve">KRS 335.515(3), (7), 45 C.F.R. 164.512(a), (d), (e)</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This administrative regulation establishes the procedures for filing, investigating, and addressing a complaint filed against a professional counselor.</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and provided on the Complaint Form with Information Sheet and Authorization for Release of Medical and Client Records, DPL-LPC-11; and</w:t>
      </w:r>
    </w:p>
    <w:p>
      <w:pPr>
        <w:pStyle w:val="kar_subparagraph"/>
      </w:pPr>
      <w:r>
        <w:t xml:space="preserve">2.</w:t>
      </w:r>
      <w:r>
        <w:t xml:space="preserve"> </w:t>
      </w:r>
      <w:r>
        <w:t xml:space="preserve">Signed by the person submitting the complaint; and</w:t>
      </w:r>
    </w:p>
    <w:p>
      <w:pPr>
        <w:pStyle w:val="kar_paragraph"/>
      </w:pPr>
      <w:r>
        <w:t xml:space="preserve">(c)</w:t>
      </w:r>
      <w:r>
        <w:t xml:space="preserve"> </w:t>
      </w:r>
      <w:r>
        <w:t xml:space="preserve">May be filed by the board based upon information in its possession without receipt of a third-party complaint if the board has reasonable cause to believe there may be a violation by a licensee.</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complaint, a copy of the complaint shall be sent to the individual named in the complaint along with a request for that individual's response to the complaint.</w:t>
      </w:r>
    </w:p>
    <w:p>
      <w:pPr>
        <w:pStyle w:val="kar_paragraph"/>
      </w:pPr>
      <w:r>
        <w:t xml:space="preserve">(b)</w:t>
      </w:r>
      <w:r>
        <w:t xml:space="preserve"> </w:t>
      </w:r>
      <w:r>
        <w:t xml:space="preserve">The individual shall be allowed a period of twenty (20) days from the date of receipt to submit a written response.</w:t>
      </w:r>
    </w:p>
    <w:p>
      <w:pPr>
        <w:pStyle w:val="kar_subsection"/>
      </w:pPr>
      <w:r>
        <w:t xml:space="preserve">(3)</w:t>
      </w:r>
      <w:r>
        <w:t xml:space="preserve"> </w:t>
      </w:r>
      <w:r>
        <w:t xml:space="preserve"> </w:t>
      </w:r>
    </w:p>
    <w:p>
      <w:pPr>
        <w:pStyle w:val="kar_paragraph"/>
      </w:pPr>
      <w:r>
        <w:t xml:space="preserve">(a)</w:t>
      </w:r>
      <w:r>
        <w:t xml:space="preserve"> </w:t>
      </w:r>
      <w:r>
        <w:t xml:space="preserve">Upon receipt of the written response of the individual named in the complaint, a copy of his or her response shall be sent to the complainant.</w:t>
      </w:r>
    </w:p>
    <w:p>
      <w:pPr>
        <w:pStyle w:val="kar_paragraph"/>
      </w:pPr>
      <w:r>
        <w:t xml:space="preserve">(b)</w:t>
      </w:r>
      <w:r>
        <w:t xml:space="preserve"> </w:t>
      </w:r>
      <w:r>
        <w:t xml:space="preserve">The complainant shall have seven (7) days from the receipt to submit a written reply to the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 or reply, the complaint screening committee shall consider the individual's response, complainant's reply to the response,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 The committee shall review the investigative report and make a recommendation to the board. The board shall determine whether there has been a prima facie violation of KRS 335.500 to 335.599 or the administrative regulations promulgated thereunder and a complaint should be filed.</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or take action pursuant to KRS 335.540(3);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the issuance of a formal complaint against a respondent, the complaint screening committee shall prepare a formal complaint, which states clearly the charge or charges to be considered at the hearing. The formal complaint shall be reviewed by the board and, if approved, signed by the chair and served upon the individual as required by KRS Chapter 13B.</w:t>
      </w:r>
    </w:p>
    <w:p>
      <w:pPr>
        <w:pStyle w:val="kar_subsection"/>
      </w:pPr>
      <w:r>
        <w:t xml:space="preserve">(4)</w:t>
      </w:r>
      <w:r>
        <w:t xml:space="preserve"> </w:t>
      </w:r>
      <w:r>
        <w:t xml:space="preserve">If the board determines that a person may be in violation, it shall:</w:t>
      </w:r>
    </w:p>
    <w:p>
      <w:pPr>
        <w:pStyle w:val="kar_paragraph"/>
      </w:pPr>
      <w:r>
        <w:t xml:space="preserve">(a)</w:t>
      </w:r>
      <w:r>
        <w:t xml:space="preserve"> </w:t>
      </w:r>
      <w:r>
        <w:t xml:space="preserve">Order the individual to cease and desist from further violations of KRS 335.505;</w:t>
      </w:r>
    </w:p>
    <w:p>
      <w:pPr>
        <w:pStyle w:val="kar_paragraph"/>
      </w:pPr>
      <w:r>
        <w:t xml:space="preserve">(b)</w:t>
      </w:r>
      <w:r>
        <w:t xml:space="preserve"> </w:t>
      </w:r>
      <w:r>
        <w:t xml:space="preserve">Forward information to the county attorney of the county of residence of the person allegedly violating KRS 335.505 with a request that appropriate action be taken under KRS 335.599; or</w:t>
      </w:r>
    </w:p>
    <w:p>
      <w:pPr>
        <w:pStyle w:val="kar_paragraph"/>
      </w:pPr>
      <w:r>
        <w:t xml:space="preserve">(c)</w:t>
      </w:r>
      <w:r>
        <w:t xml:space="preserve"> </w:t>
      </w:r>
      <w:r>
        <w:t xml:space="preserve">Initiate action in Franklin Circuit Court for injunctive relief to stop the violation of KRS 335.505.</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5.</w:t>
      </w:r>
      <w:r>
        <w:t xml:space="preserve"> </w:t>
      </w:r>
      <w:r>
        <w:t xml:space="preserve"> </w:t>
      </w:r>
    </w:p>
    <w:p>
      <w:pPr>
        <w:pStyle w:val="kar_subsection"/>
      </w:pPr>
      <w:r>
        <w:t xml:space="preserve">(1)</w:t>
      </w:r>
      <w:r>
        <w:t xml:space="preserve"> </w:t>
      </w:r>
      <w:r>
        <w:t xml:space="preserve">If the complaint screening committee determines that a violation has occurred but is not serious, the complaint screening committee may recommend the issuance of a private written admonishment to the board. If the board accepts the recommendation, the board shall issue a private written admonishment to the credential holder.</w:t>
      </w:r>
    </w:p>
    <w:p>
      <w:pPr>
        <w:pStyle w:val="kar_subsection"/>
      </w:pPr>
      <w:r>
        <w:t xml:space="preserve">(2)</w:t>
      </w:r>
      <w:r>
        <w:t xml:space="preserve"> </w:t>
      </w:r>
      <w:r>
        <w:t xml:space="preserve">A copy of the private written admonishment shall be placed in the permanent file of the credential holder.</w:t>
      </w:r>
    </w:p>
    <w:p>
      <w:pPr>
        <w:pStyle w:val="kar_subsection"/>
      </w:pPr>
      <w:r>
        <w:t xml:space="preserve">(3)</w:t>
      </w:r>
      <w:r>
        <w:t xml:space="preserve"> </w:t>
      </w:r>
      <w:r>
        <w:t xml:space="preserve">A private written admonishment shall not:</w:t>
      </w:r>
    </w:p>
    <w:p>
      <w:pPr>
        <w:pStyle w:val="kar_paragraph"/>
      </w:pPr>
      <w:r>
        <w:t xml:space="preserve">(a)</w:t>
      </w:r>
      <w:r>
        <w:t xml:space="preserve"> </w:t>
      </w:r>
      <w:r>
        <w:t xml:space="preserve">Be subject to disclosure to the public under KRS 61.878(1)(l); or</w:t>
      </w:r>
    </w:p>
    <w:p>
      <w:pPr>
        <w:pStyle w:val="kar_paragraph"/>
      </w:pPr>
      <w:r>
        <w:t xml:space="preserve">(b)</w:t>
      </w:r>
      <w:r>
        <w:t xml:space="preserve"> </w:t>
      </w:r>
      <w:r>
        <w:t xml:space="preserve">Constitute disciplinary action.</w:t>
      </w:r>
    </w:p>
    <w:p>
      <w:pPr>
        <w:pStyle w:val="kar_subsection"/>
      </w:pPr>
      <w:r>
        <w:t xml:space="preserve">(4)</w:t>
      </w:r>
      <w:r>
        <w:t xml:space="preserve"> </w:t>
      </w:r>
      <w:r>
        <w:t xml:space="preserve">A private written admonishment may be used by the board for statistical purposes or in any subsequent disciplinary action against the credential holder or applicant.</w:t>
      </w:r>
    </w:p>
    <w:p>
      <w:pPr>
        <w:pStyle w:val="kar_section"/>
      </w:pPr>
      <w:r>
        <w:t xml:space="preserve">Section 6.</w:t>
      </w:r>
      <w:r>
        <w:t xml:space="preserve"> </w:t>
      </w:r>
      <w:r>
        <w:t xml:space="preserve">If the board determines that there is reasonable cause to believe that a license holder or applicant for a license is physically or mentally incapable of practicing professional counseling with reasonable skill and safety to clients, the board may order the license holder or applicant to submit to an examination by a mental health professional or a physician designated by the board to determine the license holder's or applicant's mental health or physical status to practice professional counseling.</w:t>
      </w:r>
    </w:p>
    <w:p>
      <w:pPr>
        <w:pStyle w:val="kar_section"/>
      </w:pPr>
      <w:r>
        <w:t xml:space="preserve">Section 7.</w:t>
      </w:r>
      <w:r>
        <w:t xml:space="preserve"> </w:t>
      </w:r>
      <w:r>
        <w:t xml:space="preserve">Notice and Service Process. A notice required by KRS 335.500 to 335.599 or this administrative regulation shall be issued pursuant to KRS Chapter 13B and 201 KAR 36:090.</w:t>
      </w:r>
    </w:p>
    <w:p>
      <w:pPr>
        <w:pStyle w:val="kar_section"/>
      </w:pPr>
      <w:r>
        <w:t xml:space="preserve">Section 8.</w:t>
      </w:r>
      <w:r>
        <w:t xml:space="preserve"> </w:t>
      </w:r>
      <w:r>
        <w:t xml:space="preserve">Notification. The board shall make public:</w:t>
      </w:r>
    </w:p>
    <w:p>
      <w:pPr>
        <w:pStyle w:val="kar_subsection"/>
      </w:pPr>
      <w:r>
        <w:t xml:space="preserve">(1)</w:t>
      </w:r>
      <w:r>
        <w:t xml:space="preserve"> </w:t>
      </w:r>
      <w:r>
        <w:t xml:space="preserve">Its final order in a disciplinary action under KRS 335.540 with the exception of a written admonishment issued pursuant to KRS 335.540(3); and</w:t>
      </w:r>
    </w:p>
    <w:p>
      <w:pPr>
        <w:pStyle w:val="kar_subsection"/>
      </w:pPr>
      <w:r>
        <w:t xml:space="preserve">(2)</w:t>
      </w:r>
      <w:r>
        <w:t xml:space="preserve"> </w:t>
      </w:r>
      <w:r>
        <w:t xml:space="preserve">An action to restrain or enjoin a violation of KRS 335.505. 201 KAR 36:050.</w:t>
      </w:r>
    </w:p>
    <w:p>
      <w:pPr>
        <w:pStyle w:val="kar_section"/>
      </w:pPr>
      <w:r>
        <w:t xml:space="preserve">Section 9.</w:t>
      </w:r>
      <w:r>
        <w:t xml:space="preserve"> </w:t>
      </w:r>
      <w:r>
        <w:t xml:space="preserve">If the complaint relates to services provided by a licensee, the board or its authorized representative may contact the complainant and request that he or she sign an Authorization for Release of Medical and Client Records, DPL-LPC-012. This involves health oversight activities and administrative proceedings of the board and disclosure is permitted by 45 C.F.R. Section 164.512, the federal regulations implementing the Health Insurance Portability Accountability Act (HIPAA).</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"Complaint Form with Information Sheet and Authorization for Release of Medical and Client Records", DPL-LPC-11, February 2025; and</w:t>
      </w:r>
    </w:p>
    <w:p>
      <w:pPr>
        <w:pStyle w:val="kar_paragraph"/>
      </w:pPr>
      <w:r>
        <w:t xml:space="preserve">(b)</w:t>
      </w:r>
      <w:r>
        <w:t xml:space="preserve"> </w:t>
      </w:r>
      <w:r>
        <w:t xml:space="preserve">"Authorization for Release of Medical and Client Records", DPL-LPC-12, February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Licensed Professional Counselors, 500 Mero Street, Frankfort, Kentucky 40601, from 8:00 a.m. to 4:00 p.m., Monday through Friday. This material is also available on the board's Web site at lpc.ky.gov.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1c468de3674c2f" /><Relationship Type="http://schemas.openxmlformats.org/officeDocument/2006/relationships/settings" Target="/word/settings.xml" Id="Rc3c187ced07f44d1" /></Relationships>
</file>