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47fe1a18e4240b1"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(Amended After Comments)</w:t>
      </w:r>
    </w:p>
    <w:p>
      <w:pPr>
        <w:pStyle w:val="kar_citation"/>
      </w:pPr>
      <w:r>
        <w:t>201 KAR 16:730.</w:t>
      </w:r>
      <w:r>
        <w:t xml:space="preserve"> </w:t>
      </w:r>
      <w:r>
        <w:t xml:space="preserve">Approved allied animal health professional (AAHP) programs; education requirements.</w:t>
      </w:r>
    </w:p>
    <w:p>
      <w:pPr>
        <w:pStyle w:val="kar_markup_metadata"/>
      </w:pPr>
      <w:r>
        <w:t xml:space="preserve">RELATES TO: </w:t>
      </w:r>
      <w:r>
        <w:t xml:space="preserve">KRS 321.175, 321.181(1)-(4), 321.235</w:t>
      </w:r>
    </w:p>
    <w:p>
      <w:pPr>
        <w:pStyle w:val="kar_markup_metadata"/>
      </w:pPr>
      <w:r>
        <w:t xml:space="preserve">STATUTORY AUTHORITY: </w:t>
      </w:r>
      <w:r>
        <w:t xml:space="preserve">KRS 321.175(2)(c), (5), 321.181(1)-(4), 321.235(1)(a)-(c), (2)(b)2</w:t>
      </w:r>
    </w:p>
    <w:p>
      <w:pPr>
        <w:pStyle w:val="kar_markup_metadata"/>
      </w:pPr>
      <w:r>
        <w:t xml:space="preserve">NECESSITY, FUNCTION, AND CONFORMITY: </w:t>
      </w:r>
      <w:r>
        <w:t xml:space="preserve">KRS 321.235(1)(b) </w:t>
      </w:r>
      <w:r>
        <w:rPr>
          <w:b/>
          <w:u w:val="single"/>
        </w:rPr>
        <w:t xml:space="preserve">requires</w:t>
      </w:r>
      <w:r>
        <w:t>[</w:t>
      </w:r>
      <w:r>
        <w:rPr>
          <w:b/>
          <w:strike w:val="true"/>
        </w:rPr>
        <w:t xml:space="preserve">authorizes</w:t>
      </w:r>
      <w:r>
        <w:t>]</w:t>
      </w:r>
      <w:r>
        <w:t xml:space="preserve"> the board to promulgate administrative regulations to implement </w:t>
      </w:r>
      <w:r>
        <w:rPr>
          <w:b/>
          <w:u w:val="single"/>
        </w:rPr>
        <w:t xml:space="preserve">and enforce </w:t>
      </w:r>
      <w:r>
        <w:t xml:space="preserve">KRS Chapter 321. KRS 321.235(2)(b)2. </w:t>
      </w:r>
      <w:r>
        <w:rPr>
          <w:b/>
          <w:u w:val="single"/>
        </w:rPr>
        <w:t xml:space="preserve">authorizes</w:t>
      </w:r>
      <w:r>
        <w:t>[</w:t>
      </w:r>
      <w:r>
        <w:rPr>
          <w:b/>
          <w:strike w:val="true"/>
        </w:rPr>
        <w:t xml:space="preserve">provides</w:t>
      </w:r>
      <w:r>
        <w:t>]</w:t>
      </w:r>
      <w:r>
        <w:t xml:space="preserve"> the board </w:t>
      </w:r>
      <w:r>
        <w:t>[</w:t>
      </w:r>
      <w:r>
        <w:rPr>
          <w:b/>
          <w:strike w:val="true"/>
        </w:rPr>
        <w:t xml:space="preserve">authority </w:t>
      </w:r>
      <w:r>
        <w:t>]</w:t>
      </w:r>
      <w:r>
        <w:t xml:space="preserve">to promulgate administrative regulations to limit the scope of practice of allied animal health professional (AAHP) work on animals and to require an AAHP applicant to have received training from an approved allied animal health professional program in order to qualify for a permit from the board. This administrative regulation establishes an allied animal health professional's allowable scope of work on animals and </w:t>
      </w:r>
      <w:r>
        <w:t>[</w:t>
      </w:r>
      <w:r>
        <w:rPr>
          <w:b/>
          <w:strike w:val="true"/>
        </w:rPr>
        <w:t xml:space="preserve">establishes </w:t>
      </w:r>
      <w:r>
        <w:t>]</w:t>
      </w:r>
      <w:r>
        <w:t xml:space="preserve">the allied animal health professional educational programs approved by the board.</w:t>
      </w:r>
    </w:p>
    <w:p>
      <w:pPr>
        <w:pStyle w:val="kar_section"/>
      </w:pPr>
      <w:r>
        <w:t xml:space="preserve">Section 1.</w:t>
      </w:r>
      <w:r>
        <w:t xml:space="preserve"> </w:t>
      </w:r>
      <w:r>
        <w:t xml:space="preserve">Definitions.</w:t>
      </w:r>
    </w:p>
    <w:p>
      <w:pPr>
        <w:pStyle w:val="kar_subsection"/>
      </w:pPr>
      <w:r>
        <w:t xml:space="preserve">(1)</w:t>
      </w:r>
      <w:r>
        <w:t xml:space="preserve"> </w:t>
      </w:r>
      <w:r>
        <w:t xml:space="preserve">"Allied animal health professional" or "AAHP" is defined by KRS 321.181(1).</w:t>
      </w:r>
    </w:p>
    <w:p>
      <w:pPr>
        <w:pStyle w:val="kar_subsection"/>
      </w:pPr>
      <w:r>
        <w:t xml:space="preserve">(2)</w:t>
      </w:r>
      <w:r>
        <w:t xml:space="preserve"> </w:t>
      </w:r>
      <w:r>
        <w:t xml:space="preserve">"Approved allied animal health professional program" is defined by KRS 321.181(9).</w:t>
      </w:r>
    </w:p>
    <w:p>
      <w:pPr>
        <w:pStyle w:val="kar_section"/>
      </w:pPr>
      <w:r>
        <w:t xml:space="preserve">Section 2.</w:t>
      </w:r>
      <w:r>
        <w:t xml:space="preserve"> </w:t>
      </w:r>
      <w:r>
        <w:t xml:space="preserve">Education Requirements. </w:t>
      </w:r>
      <w:r>
        <w:rPr>
          <w:b/>
          <w:u w:val="single"/>
        </w:rPr>
        <w:t xml:space="preserve">To be considered for approval by the board, an</w:t>
      </w:r>
      <w:r>
        <w:t>[</w:t>
      </w:r>
      <w:r>
        <w:rPr>
          <w:b/>
          <w:strike w:val="true"/>
        </w:rPr>
        <w:t xml:space="preserve">An</w:t>
      </w:r>
      <w:r>
        <w:t>]</w:t>
      </w:r>
      <w:r>
        <w:t xml:space="preserve"> applicant for an AAHP permit shall meet and show proof of</w:t>
      </w:r>
      <w:r>
        <w:rPr>
          <w:b/>
          <w:u w:val="single"/>
        </w:rPr>
        <w:t xml:space="preserve">:</w:t>
      </w:r>
      <w:r>
        <w:t>[</w:t>
      </w:r>
      <w:r>
        <w:rPr>
          <w:b/>
          <w:strike w:val="true"/>
        </w:rPr>
        <w:t xml:space="preserve"> the following requirements to be considered for approval by the board.</w:t>
      </w:r>
      <w:r>
        <w:t>]</w:t>
      </w:r>
    </w:p>
    <w:p>
      <w:pPr>
        <w:pStyle w:val="kar_subsection"/>
      </w:pPr>
      <w:r>
        <w:t xml:space="preserve">(1)</w:t>
      </w:r>
      <w:r>
        <w:t xml:space="preserve"> </w:t>
      </w:r>
      <w:r>
        <w:t xml:space="preserve">For an AAHP animal chiropractic </w:t>
      </w:r>
      <w:r>
        <w:rPr>
          <w:b/>
          <w:u w:val="single"/>
        </w:rPr>
        <w:t xml:space="preserve">provider (ACP) </w:t>
      </w:r>
      <w:r>
        <w:t xml:space="preserve">permit, </w:t>
      </w:r>
      <w:r>
        <w:rPr>
          <w:b/>
          <w:u w:val="single"/>
        </w:rPr>
        <w:t xml:space="preserve">holding</w:t>
      </w:r>
      <w:r>
        <w:t>[</w:t>
      </w:r>
      <w:r>
        <w:rPr>
          <w:b/>
          <w:strike w:val="true"/>
        </w:rPr>
        <w:t xml:space="preserve">shall hold</w:t>
      </w:r>
      <w:r>
        <w:t>]</w:t>
      </w:r>
      <w:r>
        <w:t xml:space="preserve"> current licensure in good standing from the Kentucky Board of Chiropractic Examiners</w:t>
      </w:r>
      <w:r>
        <w:rPr>
          <w:b/>
          <w:u w:val="single"/>
        </w:rPr>
        <w:t xml:space="preserve">; and</w:t>
      </w:r>
      <w:r>
        <w:t>[</w:t>
      </w:r>
      <w:r>
        <w:rPr>
          <w:b/>
          <w:strike w:val="true"/>
        </w:rPr>
        <w:t xml:space="preserve">.</w:t>
      </w:r>
      <w:r>
        <w:t>]</w:t>
      </w:r>
    </w:p>
    <w:p>
      <w:pPr>
        <w:pStyle w:val="kar_subsection"/>
      </w:pPr>
      <w:r>
        <w:t xml:space="preserve">(2)</w:t>
      </w:r>
      <w:r>
        <w:t xml:space="preserve"> </w:t>
      </w:r>
      <w:r>
        <w:rPr>
          <w:b/>
          <w:u w:val="single"/>
        </w:rPr>
        <w:t xml:space="preserve">Maintaining</w:t>
      </w:r>
      <w:r>
        <w:t>[</w:t>
      </w:r>
      <w:r>
        <w:rPr>
          <w:b/>
          <w:strike w:val="true"/>
        </w:rPr>
        <w:t xml:space="preserve">Maintain</w:t>
      </w:r>
      <w:r>
        <w:t>]</w:t>
      </w:r>
      <w:r>
        <w:t xml:space="preserve"> a current certificate in good standing with an approved allied animal health professional program designated in Section 3 of this administrative regulation.</w:t>
      </w:r>
    </w:p>
    <w:p>
      <w:pPr>
        <w:pStyle w:val="kar_section"/>
      </w:pPr>
      <w:r>
        <w:t xml:space="preserve">Section 3.</w:t>
      </w:r>
      <w:r>
        <w:t xml:space="preserve"> </w:t>
      </w:r>
      <w:r>
        <w:t xml:space="preserve">Approved allied animal health professional programs. The board approves the </w:t>
      </w:r>
      <w:r>
        <w:t>[</w:t>
      </w:r>
      <w:r>
        <w:rPr>
          <w:b/>
          <w:strike w:val="true"/>
        </w:rPr>
        <w:t xml:space="preserve">following </w:t>
      </w:r>
      <w:r>
        <w:t>]</w:t>
      </w:r>
      <w:r>
        <w:t xml:space="preserve">allied animal health professional programs for animal chiropractic practice on animals</w:t>
      </w:r>
      <w:r>
        <w:rPr>
          <w:b/>
          <w:u w:val="single"/>
        </w:rPr>
        <w:t xml:space="preserve"> from the</w:t>
      </w:r>
      <w:r>
        <w:t xml:space="preserve">:</w:t>
      </w:r>
    </w:p>
    <w:p>
      <w:pPr>
        <w:pStyle w:val="kar_subsection"/>
      </w:pPr>
      <w:r>
        <w:t xml:space="preserve">(1)</w:t>
      </w:r>
      <w:r>
        <w:t xml:space="preserve"> </w:t>
      </w:r>
      <w:r>
        <w:t xml:space="preserve">American Veterinary Chiropractic Association (AVCA);</w:t>
      </w:r>
      <w:r>
        <w:t>[</w:t>
      </w:r>
      <w:r>
        <w:rPr>
          <w:b/>
          <w:strike w:val="true"/>
        </w:rPr>
        <w:t xml:space="preserve"> or</w:t>
      </w:r>
      <w:r>
        <w:t>]</w:t>
      </w:r>
    </w:p>
    <w:p>
      <w:pPr>
        <w:pStyle w:val="kar_subsection"/>
      </w:pPr>
      <w:r>
        <w:t xml:space="preserve">(2)</w:t>
      </w:r>
      <w:r>
        <w:t xml:space="preserve"> </w:t>
      </w:r>
      <w:r>
        <w:t xml:space="preserve">International Veterinary Chiropractic Association (IVCA); or</w:t>
      </w:r>
    </w:p>
    <w:p>
      <w:pPr>
        <w:pStyle w:val="kar_subsection"/>
      </w:pPr>
      <w:r>
        <w:t xml:space="preserve">(3)</w:t>
      </w:r>
      <w:r>
        <w:t xml:space="preserve"> </w:t>
      </w:r>
      <w:r>
        <w:t xml:space="preserve">An </w:t>
      </w:r>
      <w:r>
        <w:rPr>
          <w:b/>
          <w:u w:val="single"/>
        </w:rPr>
        <w:t xml:space="preserve">approved</w:t>
      </w:r>
      <w:r>
        <w:t>[</w:t>
      </w:r>
      <w:r>
        <w:rPr>
          <w:b/>
          <w:strike w:val="true"/>
        </w:rPr>
        <w:t xml:space="preserve">accredited</w:t>
      </w:r>
      <w:r>
        <w:t>]</w:t>
      </w:r>
      <w:r>
        <w:t xml:space="preserve"> program of the AVCA or IVCA.</w:t>
      </w:r>
    </w:p>
    <w:p>
      <w:pPr>
        <w:pStyle w:val="kar_section"/>
      </w:pPr>
      <w:r>
        <w:t xml:space="preserve">Section 4.</w:t>
      </w:r>
      <w:r>
        <w:t xml:space="preserve"> </w:t>
      </w:r>
      <w:r>
        <w:t xml:space="preserve">Continuing education required. As one part of the requirements for an allied animal health professional permit to be granted and renewed, the </w:t>
      </w:r>
      <w:r>
        <w:rPr>
          <w:b/>
          <w:u w:val="single"/>
        </w:rPr>
        <w:t xml:space="preserve">AAHP provider</w:t>
      </w:r>
      <w:r>
        <w:t>[</w:t>
      </w:r>
      <w:r>
        <w:rPr>
          <w:b/>
          <w:strike w:val="true"/>
        </w:rPr>
        <w:t xml:space="preserve">allied professional</w:t>
      </w:r>
      <w:r>
        <w:t>]</w:t>
      </w:r>
      <w:r>
        <w:t xml:space="preserve"> shall provide proof that the degree or certificate obtained from the approved allied animal health professional program is in an </w:t>
      </w:r>
      <w:r>
        <w:rPr>
          <w:b/>
          <w:u w:val="single"/>
        </w:rPr>
        <w:t xml:space="preserve">active</w:t>
      </w:r>
      <w:r>
        <w:t>[</w:t>
      </w:r>
      <w:r>
        <w:rPr>
          <w:b/>
          <w:strike w:val="true"/>
        </w:rPr>
        <w:t xml:space="preserve">'active'</w:t>
      </w:r>
      <w:r>
        <w:t>]</w:t>
      </w:r>
      <w:r>
        <w:t xml:space="preserve"> or </w:t>
      </w:r>
      <w:r>
        <w:rPr>
          <w:b/>
          <w:u w:val="single"/>
        </w:rPr>
        <w:t xml:space="preserve">current</w:t>
      </w:r>
      <w:r>
        <w:t>[</w:t>
      </w:r>
      <w:r>
        <w:rPr>
          <w:b/>
          <w:strike w:val="true"/>
        </w:rPr>
        <w:t xml:space="preserve">'current'</w:t>
      </w:r>
      <w:r>
        <w:t>]</w:t>
      </w:r>
      <w:r>
        <w:t xml:space="preserve"> status with:</w:t>
      </w:r>
    </w:p>
    <w:p>
      <w:pPr>
        <w:pStyle w:val="kar_subsection"/>
      </w:pPr>
      <w:r>
        <w:t xml:space="preserve">(1)</w:t>
      </w:r>
      <w:r>
        <w:t xml:space="preserve"> </w:t>
      </w:r>
      <w:r>
        <w:t xml:space="preserve"> </w:t>
      </w:r>
    </w:p>
    <w:p>
      <w:pPr>
        <w:pStyle w:val="kar_paragraph"/>
      </w:pPr>
      <w:r>
        <w:rPr>
          <w:b/>
          <w:u w:val="single"/>
        </w:rPr>
        <w:t xml:space="preserve">(a)</w:t>
      </w:r>
      <w:r>
        <w:t xml:space="preserve"> </w:t>
      </w:r>
      <w:r>
        <w:rPr>
          <w:b/>
          <w:u w:val="single"/>
        </w:rPr>
        <w:t xml:space="preserve">The professional licensing board as required in Section 2(1) of this administrative regulation, if</w:t>
      </w:r>
      <w:r>
        <w:t>[</w:t>
      </w:r>
      <w:r>
        <w:rPr>
          <w:b/>
          <w:strike w:val="true"/>
        </w:rPr>
        <w:t xml:space="preserve">If</w:t>
      </w:r>
      <w:r>
        <w:t>]</w:t>
      </w:r>
      <w:r>
        <w:t xml:space="preserve"> applicable to the credential holder and required by the board</w:t>
      </w:r>
      <w:r>
        <w:t>[</w:t>
      </w:r>
      <w:r>
        <w:rPr>
          <w:b/>
          <w:strike w:val="true"/>
        </w:rPr>
        <w:t xml:space="preserve">, the professional licensing board as required in Section 2(1) of this administrative regulation</w:t>
      </w:r>
      <w:r>
        <w:t>]</w:t>
      </w:r>
      <w:r>
        <w:t xml:space="preserve">; and</w:t>
      </w:r>
    </w:p>
    <w:p>
      <w:pPr>
        <w:pStyle w:val="kar_paragraph"/>
      </w:pPr>
      <w:r>
        <w:rPr>
          <w:b/>
          <w:u w:val="single"/>
        </w:rPr>
        <w:t xml:space="preserve">(b)</w:t>
      </w:r>
      <w:r>
        <w:t>[</w:t>
      </w:r>
      <w:r>
        <w:rPr>
          <w:b/>
          <w:strike w:val="true"/>
        </w:rPr>
        <w:t xml:space="preserve">(2)</w:t>
      </w:r>
      <w:r>
        <w:t>]</w:t>
      </w:r>
      <w:r>
        <w:t xml:space="preserve"> </w:t>
      </w:r>
      <w:r>
        <w:t xml:space="preserve">The </w:t>
      </w:r>
      <w:r>
        <w:rPr>
          <w:b/>
          <w:u w:val="single"/>
        </w:rPr>
        <w:t xml:space="preserve">approved </w:t>
      </w:r>
      <w:r>
        <w:t xml:space="preserve">allied animal health professional program certifying entity identified in Section 3 of this administrative regulation.</w:t>
      </w:r>
    </w:p>
    <w:p>
      <w:pPr>
        <w:pStyle w:val="kar_subsection"/>
      </w:pPr>
      <w:r>
        <w:rPr>
          <w:b/>
          <w:u w:val="single"/>
        </w:rPr>
        <w:t xml:space="preserve">(2)</w:t>
      </w:r>
      <w:r>
        <w:t xml:space="preserve"> </w:t>
      </w:r>
      <w:r>
        <w:t xml:space="preserve">At the time of application, the AAHP permittee shall show proof satisfactory to the board that all continuing education requirements for these credentials have been met and are current</w:t>
      </w:r>
      <w:r>
        <w:rPr>
          <w:b/>
          <w:u w:val="single"/>
        </w:rPr>
        <w:t xml:space="preserve"> in accordance with 201 KAR 16:735, Section 2</w:t>
      </w:r>
      <w:r>
        <w:t xml:space="preserve">.</w:t>
      </w:r>
    </w:p>
    <w:p>
      <w:pPr>
        <w:pStyle w:val="kar_signature"/>
      </w:pPr>
      <w:r>
        <w:t xml:space="preserve">MICHELLE M. SHANE, Executive Director</w:t>
      </w:r>
    </w:p>
    <w:p>
      <w:pPr>
        <w:pStyle w:val="kar_signature"/>
      </w:pPr>
      <w:r>
        <w:t xml:space="preserve">For JOHN C. PARK, DVM, Board Chair</w:t>
      </w:r>
    </w:p>
    <w:p>
      <w:pPr>
        <w:pStyle w:val="kar_normal"/>
      </w:pPr>
      <w:r>
        <w:t xml:space="preserve"/>
      </w:r>
    </w:p>
    <w:p>
      <w:pPr>
        <w:pStyle w:val="kar_approved_by"/>
      </w:pPr>
      <w:r>
        <w:t xml:space="preserve">APPROVED BY AGENCY: January 30, 2025</w:t>
      </w:r>
    </w:p>
    <w:p>
      <w:pPr>
        <w:pStyle w:val="kar_filed"/>
      </w:pPr>
      <w:r>
        <w:t xml:space="preserve">FILED WITH LRC: February 14, 2025 at 7:51 a.m.</w:t>
      </w:r>
    </w:p>
    <w:p>
      <w:pPr>
        <w:pStyle w:val="kar_normal"/>
      </w:pPr>
      <w:r>
        <w:t xml:space="preserve"/>
      </w:r>
    </w:p>
    <w:p>
      <w:pPr>
        <w:pStyle w:val="kar_contact_person"/>
      </w:pPr>
      <w:r>
        <w:t xml:space="preserve">CONTACT PERSON: Michelle M. Shane, Executive Director, Kentucky Board of Veterinary Examiners, 4047 Iron Works Parkway, Suite 104, Lexington, Kentucky 40511, phone 502-564-5433, fax 502-753-1458, email Michelle.Shane@ky.gov.</w:t>
      </w:r>
    </w:p>
    <w:p>
      <w:pPr>
        <w:pStyle w:val="kar_form_name"/>
      </w:pPr>
      <w:r>
        <w:t xml:space="preserve">REGULATORY IMPACT ANALYSIS AND TIERING STATEMENT</w:t>
      </w:r>
    </w:p>
    <w:p>
      <w:pPr>
        <w:pStyle w:val="kar_normal"/>
        <w:ind w:left="0"/>
      </w:pPr>
      <w:r>
        <w:t xml:space="preserve">Contact Person:</w:t>
      </w:r>
      <w:r>
        <w:t xml:space="preserve"> Michelle M. Shane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an allied animal health professional’s allowable scope of work on animals and establishes the allied animal health professional (AAHP) educational programs approved by the board</w:t>
      </w:r>
    </w:p>
    <w:p>
      <w:pPr>
        <w:pStyle w:val="kar_normal"/>
        <w:ind w:left="576"/>
      </w:pPr>
      <w:r>
        <w:t xml:space="preserve">(b) The necessity of this administrative regulation:</w:t>
      </w:r>
    </w:p>
    <w:p>
      <w:pPr>
        <w:pStyle w:val="kar_normal"/>
        <w:ind w:left="720"/>
      </w:pPr>
      <w:r>
        <w:t xml:space="preserve">This regulation is necessary to establish the scope of work and required AAHP educational programs approved by the board and provide clarity to constituents regarding the requirements for permitting.</w:t>
      </w:r>
    </w:p>
    <w:p>
      <w:pPr>
        <w:pStyle w:val="kar_normal"/>
        <w:ind w:left="576"/>
      </w:pPr>
      <w:r>
        <w:t xml:space="preserve">(c) How this administrative regulation conforms to the content of the authorizing statutes:</w:t>
      </w:r>
    </w:p>
    <w:p>
      <w:pPr>
        <w:pStyle w:val="kar_normal"/>
        <w:ind w:left="720"/>
      </w:pPr>
      <w:r>
        <w:t xml:space="preserve">KRS 321.175(2)(c) and (5) establish that the intent of the Kentucky Veterinary Medicine Practice Act is to regulate the professions of veterinary medicine, including the work of allied animal health professionals. KRS 321.181(1)-(4) define the AAHP person and the requirement for a board approved permit to practice.  KRS 321.235(1)(a)-(c) and (2)(b)2 require the board to ensure the competence of credential holders and to administer credentialing programs to ensure competency to practice and to protect the public. This new administrative regulation will assist in effective administration by clearly expressing what requirements have been established by the board.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effective administration by clearly defining which AAHP educational programs have been approved by the KBVE.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N/A - This is a new administrative regulation.</w:t>
      </w:r>
    </w:p>
    <w:p>
      <w:pPr>
        <w:pStyle w:val="kar_normal"/>
        <w:ind w:left="576"/>
      </w:pPr>
      <w:r>
        <w:t xml:space="preserve">(b) The necessity of the amendment to this administrative regulation:</w:t>
      </w:r>
    </w:p>
    <w:p>
      <w:pPr>
        <w:pStyle w:val="kar_normal"/>
        <w:ind w:left="720"/>
      </w:pPr>
      <w:r>
        <w:t xml:space="preserve">N/A - This is a new administrative regulation.</w:t>
      </w:r>
    </w:p>
    <w:p>
      <w:pPr>
        <w:pStyle w:val="kar_normal"/>
        <w:ind w:left="576"/>
      </w:pPr>
      <w:r>
        <w:t xml:space="preserve">(c) How the amendment conforms to the content of the authorizing statutes:</w:t>
      </w:r>
    </w:p>
    <w:p>
      <w:pPr>
        <w:pStyle w:val="kar_normal"/>
        <w:ind w:left="720"/>
      </w:pPr>
      <w:r>
        <w:t xml:space="preserve">N/A - 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N/A - 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Future applicants to the board for an AAHP permit.  The board anticipates receiving approximately 20 initial applications for this credential under the new laws, and one-two (1-2) annually in future years.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Applicants will be required to complete a board approved AAHP educational program within the approved scope for the AAHP work to qualify for permitting as an AAHP in Kentucky.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not be any additional costs to the applicant.  This administrative regulation simply clarifies the basic education requirements needed to obtain an AAHP permit and provide public protection related to competency to preform services.</w:t>
      </w:r>
    </w:p>
    <w:p>
      <w:pPr>
        <w:pStyle w:val="kar_normal"/>
        <w:ind w:left="576"/>
      </w:pPr>
      <w:r>
        <w:t xml:space="preserve">(c) As a result of compliance, what benefits will accrue to the entities identified in question (3):</w:t>
      </w:r>
    </w:p>
    <w:p>
      <w:pPr>
        <w:pStyle w:val="kar_normal"/>
        <w:ind w:left="720"/>
      </w:pPr>
      <w:r>
        <w:t xml:space="preserve">Applicants who complete the required AAHP education shall have met one of the requirements of the board for permitting as an AAHP.</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KBVE currently runs licensing and certificate programs for other credentials to ensure competency to practice for public protections. This program will be added to the current operations. The KBVE expects costs for all board operations to be approximately $759,700 annually in the near term.</w:t>
      </w:r>
    </w:p>
    <w:p>
      <w:pPr>
        <w:pStyle w:val="kar_normal"/>
        <w:ind w:left="576"/>
      </w:pPr>
      <w:r>
        <w:t xml:space="preserve">(b) On a continuing basis:</w:t>
      </w:r>
    </w:p>
    <w:p>
      <w:pPr>
        <w:pStyle w:val="kar_normal"/>
        <w:ind w:left="720"/>
      </w:pPr>
      <w:r>
        <w:t xml:space="preserve">The KBVE expects costs for all board operations to be approximately $900,000 annually in future bienniums as new programming is brought online, per the mandates in the modernized Kentucky Veterinary Medicine Practice Act, KRS Chapter 321.</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KBVE does not receive any general funds. All funds for the agency come from licensing fees, service fees, and administrative fines.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201 KAR 16:513 and 16:517 have been filed concurrently with this regulation to establish fees to help support the funding requirements for administrative services to run the new AAHP permitting and AAHP facility registration programs.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or increase any fees, directly or indirectly.</w:t>
      </w:r>
    </w:p>
    <w:p>
      <w:pPr>
        <w:pStyle w:val="kar_normal"/>
        <w:ind w:left="288"/>
      </w:pPr>
      <w:r>
        <w:t xml:space="preserve">(9) TIERING: Is tiering applied?</w:t>
      </w:r>
    </w:p>
    <w:p>
      <w:pPr>
        <w:pStyle w:val="kar_normal"/>
        <w:ind w:left="432"/>
      </w:pPr>
      <w:r>
        <w:t xml:space="preserve">Tiering is not applied. With the exception of a small window for legacy candidate applications, educational requirements are the same for all AAHP permit applicants.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321.175(2)(c), (5), 321.181(1)-(4), 321.235(1)(a)-(c), (2)(b)2.</w:t>
      </w:r>
    </w:p>
    <w:p>
      <w:pPr>
        <w:pStyle w:val="kar_normal"/>
        <w:ind w:left="288"/>
      </w:pPr>
      <w:r>
        <w:t xml:space="preserve">(2) Identify the promulgating agency and any other affected state units, parts, or divisions:</w:t>
      </w:r>
    </w:p>
    <w:p>
      <w:pPr>
        <w:pStyle w:val="kar_normal"/>
        <w:ind w:left="432"/>
      </w:pPr>
      <w:r>
        <w:t xml:space="preserve">The promulgating agency is the Kentucky Board of Veterinary Examiners. There are no other affected state units, parts, or divisions.</w:t>
      </w:r>
    </w:p>
    <w:p>
      <w:pPr>
        <w:pStyle w:val="kar_normal"/>
        <w:ind w:left="576"/>
      </w:pPr>
      <w:r>
        <w:t xml:space="preserve">(a) Estimate the following for the first year:</w:t>
      </w:r>
    </w:p>
    <w:p>
      <w:pPr>
        <w:pStyle w:val="kar_normal"/>
        <w:ind w:left="864"/>
      </w:pPr>
      <w:r>
        <w:t xml:space="preserve">Expenditures:</w:t>
      </w:r>
      <w:r>
        <w:t xml:space="preserve"> This is a new program, but will not generate much revenue. The KBVE expects costs for all board operations to be approximately $759,700 annually in the near term.</w:t>
      </w:r>
    </w:p>
    <w:p>
      <w:pPr>
        <w:pStyle w:val="kar_normal"/>
        <w:ind w:left="864"/>
      </w:pPr>
      <w:r>
        <w:t xml:space="preserve">Revenues:</w:t>
      </w:r>
      <w:r>
        <w:t xml:space="preserve"> There is no revenue generated by this filing.</w:t>
      </w:r>
    </w:p>
    <w:p>
      <w:pPr>
        <w:pStyle w:val="kar_normal"/>
        <w:ind w:left="864"/>
      </w:pPr>
      <w:r>
        <w:t xml:space="preserve">Cost Savings:</w:t>
      </w:r>
      <w:r>
        <w:t xml:space="preserve"> There will be no cost savings; this amendment simply codifies the requirements, making them easily accessible for regulated entities.</w:t>
      </w:r>
    </w:p>
    <w:p>
      <w:pPr>
        <w:pStyle w:val="kar_normal"/>
        <w:ind w:left="576"/>
      </w:pPr>
      <w:r>
        <w:t xml:space="preserve">(b) How will expenditures, revenues, or cost savings differ in subsequent years?</w:t>
      </w:r>
    </w:p>
    <w:p>
      <w:pPr>
        <w:pStyle w:val="kar_normal"/>
        <w:ind w:left="720"/>
      </w:pPr>
      <w:r>
        <w:t xml:space="preserve">Staff time and database management will be required for record keeping. Costs will be minimal.</w:t>
      </w:r>
    </w:p>
    <w:p>
      <w:pPr>
        <w:pStyle w:val="kar_normal"/>
        <w:ind w:left="288"/>
      </w:pPr>
      <w:r>
        <w:t xml:space="preserve">(3) Identify affected local entities (for example: cities, counties, fire departments, school districts):</w:t>
      </w:r>
    </w:p>
    <w:p>
      <w:pPr>
        <w:pStyle w:val="kar_normal"/>
        <w:ind w:left="432"/>
      </w:pPr>
      <w:r>
        <w:t xml:space="preserve">KBVE does not anticipate that any local entities will be impacted.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(4) Identify additional regulated entities not listed in questions (2) or (3):</w:t>
      </w:r>
    </w:p>
    <w:p>
      <w:pPr>
        <w:pStyle w:val="kar_normal"/>
        <w:ind w:left="432"/>
      </w:pPr>
      <w:r>
        <w:t xml:space="preserve">KBVE does not anticipate that any other regulated entities will be impacted.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does not set fees and will not bring in revenue. Local entities will not be impacted by this regulation.  This filing only impacts candidates for permitting as an allied animal health professional (AAHP).</w:t>
      </w:r>
    </w:p>
    <w:p>
      <w:pPr>
        <w:pStyle w:val="kar_normal"/>
        <w:ind w:left="576"/>
      </w:pPr>
      <w:r>
        <w:t xml:space="preserve">(b) Methodology and resources used to determine the fiscal impact:</w:t>
      </w:r>
    </w:p>
    <w:p>
      <w:pPr>
        <w:pStyle w:val="kar_normal"/>
        <w:ind w:left="720"/>
      </w:pPr>
      <w:r>
        <w:t xml:space="preserve">A large spreadsheet was used to calculate all board revenues, expenditures, proposed fees, and estimated quantities of applications based on historical numbers.  Projections were calculated ten (10) years out to F.Y. 2036.</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new administrative regulation shall not have a “major economic impact”, as defined in KRS 13A.010(13).  This administrative regulation does not set fees and will not bring in revenue.</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This amendment will not have a negative impact, as no fees are established or collected as a part of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5eabe92b974926" /><Relationship Type="http://schemas.openxmlformats.org/officeDocument/2006/relationships/settings" Target="/word/settings.xml" Id="Ra0f82ae9dd9247e0" /></Relationships>
</file>