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cc635ae75c40ef" /></Relationships>
</file>

<file path=word/document.xml><?xml version="1.0" encoding="utf-8"?>
<w:document xmlns:w="http://schemas.openxmlformats.org/wordprocessingml/2006/main">
  <w:body>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w:t>
      </w:r>
    </w:p>
    <w:p>
      <w:pPr>
        <w:pStyle w:val="kar_markup_metadata"/>
      </w:pPr>
      <w:r>
        <w:t xml:space="preserve">NECESSITY, FUNCTION, AND CONFORMITY: </w:t>
      </w:r>
      <w:r>
        <w:t xml:space="preserve">KRS 321.235(1)(b) requires the board to promulgate administrative regulations in accordance with KRS Chapter 13A to effectively carry out and enforce the provisions of the Kentucky Veterinary Medicine Practice Act. KRS 321.235(2)(b)2. authorizes the Kentucky Board of Veterinary Examiners to establish examination requirements and passing scores for allied animal health professionals. This administrative regulation establishes examination requirements as one (1) part of the requirements to qualify for an allied animal health professional (AAHP) permit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Jurisprudence Examination for AAHPs as one (1) requirement for permitting by the board as an allied animal health professional.</w:t>
      </w:r>
    </w:p>
    <w:p>
      <w:pPr>
        <w:pStyle w:val="kar_subsection"/>
      </w:pPr>
      <w:r>
        <w:t xml:space="preserve">(2)</w:t>
      </w:r>
      <w:r>
        <w:t xml:space="preserve"> </w:t>
      </w:r>
      <w:r>
        <w:t xml:space="preserve">Candidates seeking an AAHP permit shall pay a state examination fee pursuant to 201 KAR 16:513.</w:t>
      </w:r>
    </w:p>
    <w:p>
      <w:pPr>
        <w:pStyle w:val="kar_subsection"/>
      </w:pPr>
      <w:r>
        <w:t xml:space="preserve">(3)</w:t>
      </w:r>
      <w:r>
        <w:t xml:space="preserve"> </w:t>
      </w:r>
      <w:r>
        <w:t xml:space="preserve">Candidates shall successfully complete the Kentucky Board of Veterinary Examiners Jurisprudence Examination for AAHPs, which shall cover the specific requirements of KRS Chapter 321 and 201 KAR Chapter 16, in either paper or electronic format.</w:t>
      </w:r>
    </w:p>
    <w:p>
      <w:pPr>
        <w:pStyle w:val="kar_subsection"/>
      </w:pPr>
      <w:r>
        <w:t xml:space="preserve">(4)</w:t>
      </w:r>
      <w:r>
        <w:t xml:space="preserve"> </w:t>
      </w:r>
      <w:r>
        <w:t xml:space="preserve">To successfully complete the Kentucky Board of Veterinary Examiners Jurisprudence Examination for AAHPs, applicants for an AAHP permit shall be required to achieve a score of eighty (80) percent or higher.</w:t>
      </w:r>
    </w:p>
    <w:p>
      <w:pPr>
        <w:pStyle w:val="kar_section"/>
      </w:pPr>
      <w:r>
        <w:t xml:space="preserve">Section 2.</w:t>
      </w:r>
      <w:r>
        <w:t xml:space="preserve"> </w:t>
      </w:r>
      <w:r>
        <w:t xml:space="preserve">National Exam Qualifications for Allied Animal Health Professionals.</w:t>
      </w:r>
    </w:p>
    <w:p>
      <w:pPr>
        <w:pStyle w:val="kar_subsection"/>
      </w:pPr>
      <w:r>
        <w:t xml:space="preserve">(1)</w:t>
      </w:r>
      <w:r>
        <w:t xml:space="preserve"> </w:t>
      </w:r>
      <w:r>
        <w:t xml:space="preserve">The examination required for permitting by the board as an allied animal health professional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 approved exam.</w:t>
      </w:r>
    </w:p>
    <w:p>
      <w:pPr>
        <w:pStyle w:val="kar_subsection"/>
      </w:pPr>
      <w:r>
        <w:t xml:space="preserve">(2)</w:t>
      </w:r>
      <w:r>
        <w:t xml:space="preserve"> </w:t>
      </w:r>
      <w:r>
        <w:t xml:space="preserve">For AAHP animal chiropractic providers, the board approved examinations and passing scores are as established in paragraphs (a) and (b) of this subsection.</w:t>
      </w:r>
    </w:p>
    <w:p>
      <w:pPr>
        <w:pStyle w:val="kar_paragraph"/>
      </w:pPr>
      <w:r>
        <w:t xml:space="preserve">(a)</w:t>
      </w:r>
      <w:r>
        <w:t xml:space="preserve"> </w:t>
      </w:r>
      <w:r>
        <w:t xml:space="preserve">The American Veterinary Chiropractic Association (ACVA) passing score shall be the passing score set by ACVA.</w:t>
      </w:r>
    </w:p>
    <w:p>
      <w:pPr>
        <w:pStyle w:val="kar_paragraph"/>
      </w:pPr>
      <w:r>
        <w:t xml:space="preserve">(b)</w:t>
      </w:r>
      <w:r>
        <w:t xml:space="preserve"> </w:t>
      </w:r>
      <w:r>
        <w:t xml:space="preserve">The International Veterinary Chiropractic Association (ICVA) passing score shall be the passing score set by ICVA.</w:t>
      </w:r>
    </w:p>
    <w:p>
      <w:pPr>
        <w:pStyle w:val="kar_subsection"/>
      </w:pPr>
      <w:r>
        <w:t xml:space="preserve">(3)</w:t>
      </w:r>
      <w:r>
        <w:t xml:space="preserve"> </w:t>
      </w:r>
      <w:r>
        <w:t xml:space="preserve">Applicants for an AAHP permit to the board shall pay any required national exam or score transfer fees directly to the approved allied animal health professional program, their designee, or official records custodian.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016:731. 51 Ky.R. 1020, 1673;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7b09392eb48ab" /><Relationship Type="http://schemas.openxmlformats.org/officeDocument/2006/relationships/settings" Target="/word/settings.xml" Id="R0b489b606a6d4c05" /></Relationships>
</file>