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8a9698b20a54b02" /></Relationships>
</file>

<file path=word/document.xml><?xml version="1.0" encoding="utf-8"?>
<w:document xmlns:w="http://schemas.openxmlformats.org/wordprocessingml/2006/main">
  <w:body>
    <w:p>
      <w:pPr>
        <w:pStyle w:val="kar_citation"/>
      </w:pPr>
      <w:r>
        <w:t>201 KAR 26:320.</w:t>
      </w:r>
      <w:r>
        <w:t xml:space="preserve"> </w:t>
      </w:r>
      <w:r>
        <w:t xml:space="preserve">Per diem and reimbursement.</w:t>
      </w:r>
    </w:p>
    <w:p>
      <w:pPr>
        <w:pStyle w:val="kar_markup_metadata"/>
      </w:pPr>
      <w:r>
        <w:t xml:space="preserve">RELATES TO: </w:t>
      </w:r>
      <w:r>
        <w:t xml:space="preserve">KRS 319.005-319.140, 319.990</w:t>
      </w:r>
    </w:p>
    <w:p>
      <w:pPr>
        <w:pStyle w:val="kar_markup_metadata"/>
      </w:pPr>
      <w:r>
        <w:t xml:space="preserve">STATUTORY AUTHORITY: </w:t>
      </w:r>
      <w:r>
        <w:t xml:space="preserve">KRS 319.020(5), 319.032(2)</w:t>
      </w:r>
    </w:p>
    <w:p>
      <w:pPr>
        <w:pStyle w:val="kar_markup_metadata"/>
      </w:pPr>
      <w:r>
        <w:t xml:space="preserve">NECESSITY, FUNCTION, AND CONFORMITY: </w:t>
      </w:r>
      <w:r>
        <w:t xml:space="preserve">KRS 319.020(5) establishes per diem and reimbursement rates for board members. KRS 319.032(2) authorizes the Board to promulgate administrative regulations to carry out KRS Chapter 319. This administrative regulation establishes per diem rates for board members.</w:t>
      </w:r>
    </w:p>
    <w:p>
      <w:pPr>
        <w:pStyle w:val="kar_section"/>
      </w:pPr>
      <w:r>
        <w:t xml:space="preserve">Section 1.</w:t>
      </w:r>
      <w:r>
        <w:t xml:space="preserve"> </w:t>
      </w:r>
      <w:r>
        <w:t xml:space="preserve">Each member of the board shall receive per diem compensation of $100 for attending each board meeting or otherwise discharging official duties of the board.</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026:320. 51 Ky.R. 1826; eff. 7-30-2025.)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2bce73c3924341" /><Relationship Type="http://schemas.openxmlformats.org/officeDocument/2006/relationships/settings" Target="/word/settings.xml" Id="Rc9de92923f09465d" /></Relationships>
</file>