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0daa00d5a14ea8" /></Relationships>
</file>

<file path=word/document.xml><?xml version="1.0" encoding="utf-8"?>
<w:document xmlns:w="http://schemas.openxmlformats.org/wordprocessingml/2006/main">
  <w:body>
    <w:p>
      <w:pPr>
        <w:pStyle w:val="kar_citation"/>
      </w:pPr>
      <w:r>
        <w:t>201 KAR 12:060.</w:t>
      </w:r>
      <w:r>
        <w:t xml:space="preserve"> </w:t>
      </w:r>
      <w:r>
        <w:t xml:space="preserve">Inspections.</w:t>
      </w:r>
    </w:p>
    <w:p>
      <w:pPr>
        <w:pStyle w:val="kar_markup_metadata"/>
      </w:pPr>
      <w:r>
        <w:t xml:space="preserve">RELATES TO: </w:t>
      </w:r>
      <w:r>
        <w:t xml:space="preserve">KRS 317A.060, 317A.140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promulgate administrative regulations governing the operation of any schools, limited facilities, and salons of cosmetology, nail technology, threading, eyelash artistry, makeup artistry, esthetics, and to protect the health and safety of the public. This administrative regulation establishes inspection and health and safety requirements for all schools and salons of cosmetology, nail technology, threading, eyelash artistry, makeup artistry, and esthetics.</w:t>
      </w:r>
    </w:p>
    <w:p>
      <w:pPr>
        <w:pStyle w:val="kar_section"/>
      </w:pPr>
      <w:r>
        <w:t xml:space="preserve">Section 1.</w:t>
      </w:r>
      <w:r>
        <w:t xml:space="preserve"> </w:t>
      </w:r>
      <w:r>
        <w:t xml:space="preserve">Public Display.</w:t>
      </w:r>
    </w:p>
    <w:p>
      <w:pPr>
        <w:pStyle w:val="kar_subsection"/>
      </w:pPr>
      <w:r>
        <w:t xml:space="preserve">(1)</w:t>
      </w:r>
      <w:r>
        <w:t xml:space="preserve"> </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 limited facility,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limited 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 administrator, or inspector may enter any establishment licensed by this board or any place purported to be practicing cosmetology, nail technology, threading, eyelash artistry, makeup artistry, or esthetics, during reasonable working hours or at any time when the establishment is open to the public, for the purpose of determining if an individual, salon, limited facility, or school is complying with KRS Chapter 317A and 201 KAR Chapter 12.</w:t>
      </w:r>
    </w:p>
    <w:p>
      <w:pPr>
        <w:pStyle w:val="kar_subsection"/>
      </w:pPr>
      <w:r>
        <w:t xml:space="preserve">(2)</w:t>
      </w:r>
      <w:r>
        <w:t xml:space="preserve"> </w:t>
      </w:r>
      <w:r>
        <w:t xml:space="preserve">An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 at least one (1) time during the term of its license.</w:t>
      </w:r>
    </w:p>
    <w:p>
      <w:pPr>
        <w:pStyle w:val="kar_subsection"/>
      </w:pPr>
      <w:r>
        <w:t xml:space="preserve">(4)</w:t>
      </w:r>
      <w:r>
        <w:t xml:space="preserve"> </w:t>
      </w:r>
      <w:r>
        <w:t xml:space="preserve">A salon, limited facility, or school shall, within thirty (30) days, schedule an inspection of the salon, limited facility, or school after an inspector twice attempts, but is unable, to inspect the salon or school.</w:t>
      </w:r>
    </w:p>
    <w:p>
      <w:pPr>
        <w:pStyle w:val="kar_subsection"/>
      </w:pPr>
      <w:r>
        <w:t xml:space="preserve">(5)</w:t>
      </w:r>
      <w:r>
        <w:t xml:space="preserve"> </w:t>
      </w:r>
      <w:r>
        <w:t xml:space="preserve">Failure of the salon, limited facility,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under KRS 317A.140 includes:</w:t>
      </w:r>
    </w:p>
    <w:p>
      <w:pPr>
        <w:pStyle w:val="kar_subsection"/>
      </w:pPr>
      <w:r>
        <w:t xml:space="preserve">(1)</w:t>
      </w:r>
      <w:r>
        <w:t xml:space="preserve"> </w:t>
      </w:r>
      <w:r>
        <w:t xml:space="preserve">Intentionally withholding information or lying to a board employee or representative who is conducting a lawful inspection or investigation of an alleged or potential violation of KRS Chapter 317A or 201 KAR Chapter 12;</w:t>
      </w:r>
    </w:p>
    <w:p>
      <w:pPr>
        <w:pStyle w:val="kar_subsection"/>
      </w:pPr>
      <w:r>
        <w:t xml:space="preserve">(2)</w:t>
      </w:r>
      <w:r>
        <w:t xml:space="preserve"> </w:t>
      </w:r>
      <w:r>
        <w:t xml:space="preserve">A salon, limited facility, or school remaining open to the public if not appropriately licensed by the board;</w:t>
      </w:r>
    </w:p>
    <w:p>
      <w:pPr>
        <w:pStyle w:val="kar_subsection"/>
      </w:pPr>
      <w:r>
        <w:t xml:space="preserve">(3)</w:t>
      </w:r>
      <w:r>
        <w:t xml:space="preserve"> </w:t>
      </w:r>
      <w:r>
        <w:t xml:space="preserve">Providing or teaching any cosmetology, nail technology, esthetic, lash artistry, makeup artistry, 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the executive director, inspector, or agent, which includes:</w:t>
      </w:r>
    </w:p>
    <w:p>
      <w:pPr>
        <w:pStyle w:val="kar_paragraph"/>
      </w:pPr>
      <w:r>
        <w:t xml:space="preserve">(a)</w:t>
      </w:r>
      <w:r>
        <w:t xml:space="preserve"> </w:t>
      </w:r>
      <w:r>
        <w:t xml:space="preserve">Refusing to allow entry to perform an inspection of the licensed premises;</w:t>
      </w:r>
    </w:p>
    <w:p>
      <w:pPr>
        <w:pStyle w:val="kar_paragraph"/>
      </w:pPr>
      <w:r>
        <w:t xml:space="preserve">(b)</w:t>
      </w:r>
      <w:r>
        <w:t xml:space="preserve"> </w:t>
      </w:r>
      <w:r>
        <w:t xml:space="preserve">Allow the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paragraph"/>
      </w:pPr>
      <w:r>
        <w:t xml:space="preserve">(c)</w:t>
      </w:r>
      <w:r>
        <w:t xml:space="preserve"> </w:t>
      </w:r>
      <w:r>
        <w:t xml:space="preserve">Refusing to provide a valid state or federal government issued identification matching the posted license or permit; or</w:t>
      </w:r>
    </w:p>
    <w:p>
      <w:pPr>
        <w:pStyle w:val="kar_paragraph"/>
      </w:pPr>
      <w:r>
        <w:t xml:space="preserve">(d)</w:t>
      </w:r>
      <w:r>
        <w:t xml:space="preserve"> </w:t>
      </w:r>
      <w:r>
        <w:t xml:space="preserve">Removal of any posted notice from the board pertaining to violations, inspection failures, or lack of licensure by the board.</w:t>
      </w:r>
    </w:p>
    <w:p>
      <w:pPr>
        <w:pStyle w:val="kar_subsection"/>
      </w:pPr>
      <w:r>
        <w:t xml:space="preserve">(5)</w:t>
      </w:r>
      <w:r>
        <w:t xml:space="preserve"> </w:t>
      </w:r>
      <w:r>
        <w:t xml:space="preserve">Any attempt by a license or permit holder to bribe a Kentucky Board of Cosmetology representative or induce a board representative to violate a provision of KRS 317A or 201 KAR Chapter 12;</w:t>
      </w:r>
    </w:p>
    <w:p>
      <w:pPr>
        <w:pStyle w:val="kar_subsection"/>
      </w:pPr>
      <w:r>
        <w:t xml:space="preserve">(6)</w:t>
      </w:r>
      <w:r>
        <w:t xml:space="preserve"> </w:t>
      </w:r>
      <w:r>
        <w:t xml:space="preserve">Any attempt to fraudulently produce or duplicate board requested documents or licensure; or</w:t>
      </w:r>
    </w:p>
    <w:p>
      <w:pPr>
        <w:pStyle w:val="kar_subsection"/>
      </w:pPr>
      <w:r>
        <w:t xml:space="preserve">(7)</w:t>
      </w:r>
      <w:r>
        <w:t xml:space="preserve"> </w:t>
      </w:r>
      <w:r>
        <w:t xml:space="preserve">Any violation of the Code of Ethics as stated in 201 KAR 12:230.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Signage. The main entrance to any establishment licensed by the board shall display a sign indicating a beauty salon, nail salon, esthetic salon, limited facility, or cosmetology school. The sign shall indicate the name of the salon, limited facility, or school as it is registered with the Kentucky Board of Cosmetology and shall be clearly visible at the main entrance of the establishment.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e056315e9747d5" /><Relationship Type="http://schemas.openxmlformats.org/officeDocument/2006/relationships/settings" Target="/word/settings.xml" Id="R5ac6738ce7bd4c40" /></Relationships>
</file>