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a591eb196d40c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promulgate administrative regulations governing the operation of any schools, limited facilities, and salons of cosmetology, nail technology, threading, eyelash artistry, makeup artistry, esthetics, and to protect the health and safety of the public. This administrative regulation establishes inspection and health and safety requirements for all schools and salons of cosmetology, nail technology, threading, eyelash artistry, makeup artistry, 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limited facility,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limited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w:t>
      </w:r>
      <w:r>
        <w:t>[</w:t>
      </w:r>
      <w:r>
        <w:rPr>
          <w:strike w:val="true"/>
        </w:rPr>
        <w:t xml:space="preserve">board member,</w:t>
      </w:r>
      <w:r>
        <w:t>]</w:t>
      </w:r>
      <w:r>
        <w:t xml:space="preserve"> administrator, or inspector may enter any establishment licensed by this board or any place purported to be practicing cosmetology, nail technology, threading, eyelash artistry, makeup artistry, or esthetics, during reasonable working hours or at any time when the establishment is open to the public, for the purpose of determining if an individual, salon, limited facility, or school is complying with KRS Chapter 317A and 201 KAR Chapter 12.</w:t>
      </w:r>
    </w:p>
    <w:p>
      <w:pPr>
        <w:pStyle w:val="kar_subsection"/>
      </w:pPr>
      <w:r>
        <w:t xml:space="preserve">(2)</w:t>
      </w:r>
      <w:r>
        <w:t xml:space="preserve"> </w:t>
      </w:r>
      <w:r>
        <w:t xml:space="preserve">A</w:t>
      </w:r>
      <w:r>
        <w:rPr>
          <w:u w:val="single"/>
        </w:rPr>
        <w:t xml:space="preserve">n</w:t>
      </w:r>
      <w:r>
        <w:t>[</w:t>
      </w:r>
      <w:r>
        <w:rPr>
          <w:strike w:val="true"/>
        </w:rPr>
        <w:t xml:space="preserve">board member,</w:t>
      </w:r>
      <w:r>
        <w:t>]</w:t>
      </w:r>
      <w:r>
        <w:t xml:space="preserve">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w:t>
      </w:r>
      <w:r>
        <w:rPr>
          <w:u w:val="single"/>
        </w:rPr>
        <w:t xml:space="preserve"> at least one (1) time during the term of its license</w:t>
      </w:r>
      <w:r>
        <w:t>[</w:t>
      </w:r>
      <w:r>
        <w:rPr>
          <w:strike w:val="true"/>
        </w:rPr>
        <w:t xml:space="preserve">of two (2) times per year</w:t>
      </w:r>
      <w:r>
        <w:t>]</w:t>
      </w:r>
      <w:r>
        <w:t xml:space="preserve">.</w:t>
      </w:r>
    </w:p>
    <w:p>
      <w:pPr>
        <w:pStyle w:val="kar_subsection"/>
      </w:pPr>
      <w:r>
        <w:t xml:space="preserve">(4)</w:t>
      </w:r>
      <w:r>
        <w:t xml:space="preserve"> </w:t>
      </w:r>
      <w:r>
        <w:t xml:space="preserve">A salon, limited facility, or school shall, within thirty (30) days, schedule an inspection of the salon, limited facility, or school after an inspector twice attempts, but is unable, to inspect the salon or school.</w:t>
      </w:r>
    </w:p>
    <w:p>
      <w:pPr>
        <w:pStyle w:val="kar_subsection"/>
      </w:pPr>
      <w:r>
        <w:t xml:space="preserve">(5)</w:t>
      </w:r>
      <w:r>
        <w:t xml:space="preserve"> </w:t>
      </w:r>
      <w:r>
        <w:t xml:space="preserve">Failure of the salon, limited facility,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w:t>
      </w:r>
    </w:p>
    <w:p>
      <w:pPr>
        <w:pStyle w:val="kar_subsection"/>
      </w:pPr>
      <w:r>
        <w:t xml:space="preserve">(1)</w:t>
      </w:r>
      <w:r>
        <w:t xml:space="preserve"> </w:t>
      </w:r>
      <w:r>
        <w:t xml:space="preserve">Intentionally withholding information or lying to a</w:t>
      </w:r>
      <w:r>
        <w:t>[</w:t>
      </w:r>
      <w:r>
        <w:rPr>
          <w:strike w:val="true"/>
        </w:rPr>
        <w:t xml:space="preserve">board member or</w:t>
      </w:r>
      <w:r>
        <w:t>]</w:t>
      </w:r>
      <w:r>
        <w:t xml:space="preserve"> board employee </w:t>
      </w:r>
      <w:r>
        <w:rPr>
          <w:u w:val="single"/>
        </w:rPr>
        <w:t xml:space="preserve">or representative</w:t>
      </w:r>
      <w:r>
        <w:t xml:space="preserve"> who is conducting a lawful inspection or investigation of an alleged or potential violation of KRS Chapter 317A or 201 KAR Chapter 12;</w:t>
      </w:r>
    </w:p>
    <w:p>
      <w:pPr>
        <w:pStyle w:val="kar_subsection"/>
      </w:pPr>
      <w:r>
        <w:t xml:space="preserve">(2)</w:t>
      </w:r>
      <w:r>
        <w:t xml:space="preserve"> </w:t>
      </w:r>
      <w:r>
        <w:t xml:space="preserve">A salon, limited facility, or school remaining open to the public if not appropriately licensed by the board;</w:t>
      </w:r>
    </w:p>
    <w:p>
      <w:pPr>
        <w:pStyle w:val="kar_subsection"/>
      </w:pPr>
      <w:r>
        <w:t xml:space="preserve">(3)</w:t>
      </w:r>
      <w:r>
        <w:t xml:space="preserve"> </w:t>
      </w:r>
      <w:r>
        <w:t xml:space="preserve">Providing or teaching any cosmetology, nail technology, esthetic, lash artistry, makeup artistry,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the executive director, inspector, or agent, which includes:</w:t>
      </w:r>
    </w:p>
    <w:p>
      <w:pPr>
        <w:pStyle w:val="kar_paragraph"/>
      </w:pPr>
      <w:r>
        <w:t xml:space="preserve">(a)</w:t>
      </w:r>
      <w:r>
        <w:t xml:space="preserve"> </w:t>
      </w:r>
      <w:r>
        <w:t xml:space="preserve">Refusing to allow entry to perform an inspection of the licensed premises;</w:t>
      </w:r>
    </w:p>
    <w:p>
      <w:pPr>
        <w:pStyle w:val="kar_paragraph"/>
      </w:pPr>
      <w:r>
        <w:t xml:space="preserve">(b)</w:t>
      </w:r>
      <w:r>
        <w:t xml:space="preserve"> </w:t>
      </w:r>
      <w:r>
        <w:t xml:space="preserve">Allow the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t xml:space="preserve">(c)</w:t>
      </w:r>
      <w:r>
        <w:t xml:space="preserve"> </w:t>
      </w:r>
      <w:r>
        <w:t xml:space="preserve">Refusing to provide a valid state or federal government issued identification matching the posted license or permit; or</w:t>
      </w:r>
    </w:p>
    <w:p>
      <w:pPr>
        <w:pStyle w:val="kar_paragraph"/>
      </w:pPr>
      <w:r>
        <w:t xml:space="preserve">(d)</w:t>
      </w:r>
      <w:r>
        <w:t xml:space="preserve"> </w:t>
      </w:r>
      <w: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or induce a board representative to violate a provision of KRS 317A or 201 KAR Chapter 12;</w:t>
      </w:r>
    </w:p>
    <w:p>
      <w:pPr>
        <w:pStyle w:val="kar_subsection"/>
      </w:pPr>
      <w:r>
        <w:t xml:space="preserve">(6)</w:t>
      </w:r>
      <w:r>
        <w:t xml:space="preserve"> </w:t>
      </w:r>
      <w:r>
        <w:t xml:space="preserve">Any attempt to fraudulently produce or duplicate board requested documents or licensure; or</w:t>
      </w:r>
    </w:p>
    <w:p>
      <w:pPr>
        <w:pStyle w:val="kar_subsection"/>
      </w:pPr>
      <w:r>
        <w:t xml:space="preserve">(7)</w:t>
      </w:r>
      <w:r>
        <w:t xml:space="preserve"> </w:t>
      </w:r>
      <w:r>
        <w:t xml:space="preserve">Any violation of the Code of Ethics as stated in 201 KAR 12:230.</w:t>
      </w:r>
    </w:p>
    <w:p>
      <w:pPr>
        <w:pStyle w:val="kar_section"/>
      </w:pPr>
      <w:r>
        <w:t xml:space="preserve">Section 4.</w:t>
      </w:r>
      <w:r>
        <w:t xml:space="preserve"> </w:t>
      </w:r>
      <w:r>
        <w:t xml:space="preserve">Signage. The main entrance to any establishment licensed by the board shall display a sign indicating a beauty salon, nail salon, esthetic salon, limited facility, or cosmetology school. The sign shall indicate the name of the salon, limited facility, or school as it is registered with the Kentucky Board of Cosmetology and shall be clearly visible at the main entrance of the establishment.</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of schools, salons, and limited facilities providing beauty services regulated under KRS 317A.</w:t>
      </w:r>
    </w:p>
    <w:p>
      <w:pPr>
        <w:pStyle w:val="kar_normal"/>
        <w:ind w:left="576"/>
      </w:pPr>
      <w:r>
        <w:t xml:space="preserve">(b) The necessity of this administrative regulation:</w:t>
      </w:r>
    </w:p>
    <w:p>
      <w:pPr>
        <w:pStyle w:val="kar_normal"/>
        <w:ind w:left="720"/>
      </w:pPr>
      <w:r>
        <w:t xml:space="preserve">It describes how licenses should be displayed so the public can identify the licensee, who can perform an inspection, what can be done as part of the inspection, and defines what is unprofessional conduct by a KBC licensee.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up guidelines for 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or will assist in the effective administration of the statutes by establishing guidelines for the public to identify the licensee and know that they are a trained and authorized professional, licensees to know what’s expected of them for inspections, and administrators and inspectors to understand the scope of the inspection.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existing administrative regulation by removing the board members as one of the people authorized to inspect and changing the minimum inspection to one time during the term of the license.</w:t>
      </w:r>
    </w:p>
    <w:p>
      <w:pPr>
        <w:pStyle w:val="kar_normal"/>
        <w:ind w:left="576"/>
      </w:pPr>
      <w:r>
        <w:t xml:space="preserve">(b) The necessity of the amendment to this administrative regulation:</w:t>
      </w:r>
    </w:p>
    <w:p>
      <w:pPr>
        <w:pStyle w:val="kar_normal"/>
        <w:ind w:left="720"/>
      </w:pPr>
      <w:r>
        <w:t xml:space="preserve">The amendment is necessary to clarify roles and the inspection schedule.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providing a safe and manageable way to realize the Board’s charge of keeping the public safe.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its clarity.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 businesses, organizations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for this amendment.</w:t>
      </w:r>
    </w:p>
    <w:p>
      <w:pPr>
        <w:pStyle w:val="kar_normal"/>
        <w:ind w:left="576"/>
      </w:pPr>
      <w:r>
        <w:t xml:space="preserve">(c) As a result of compliance, what benefits will accrue to the entities identified in question (3):</w:t>
      </w:r>
    </w:p>
    <w:p>
      <w:pPr>
        <w:pStyle w:val="kar_normal"/>
        <w:ind w:left="720"/>
      </w:pPr>
      <w:r>
        <w:t xml:space="preserve">Entities will have a much more straightforward inspection.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source of funding is needed for the implementation and enforcement beyond what is already allocated by statute.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c936585f548b1" /><Relationship Type="http://schemas.openxmlformats.org/officeDocument/2006/relationships/settings" Target="/word/settings.xml" Id="R785ae3d0860d400d" /></Relationships>
</file>