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c84d6f758d453e" /></Relationships>
</file>

<file path=word/document.xml><?xml version="1.0" encoding="utf-8"?>
<w:document xmlns:w="http://schemas.openxmlformats.org/wordprocessingml/2006/main">
  <w:body>
    <w:p>
      <w:pPr>
        <w:pStyle w:val="kar_citation"/>
      </w:pPr>
      <w:r>
        <w:t>201 KAR 12:082.</w:t>
      </w:r>
      <w:r>
        <w:t xml:space="preserve"> </w:t>
      </w:r>
      <w:r>
        <w:t xml:space="preserve">Education requirements and school administration.</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w:t>
      </w:r>
    </w:p>
    <w:p>
      <w:pPr>
        <w:pStyle w:val="kar_paragraph"/>
      </w:pPr>
      <w:r>
        <w:t xml:space="preserve">(c)</w:t>
      </w:r>
      <w:r>
        <w:t xml:space="preserve"> </w:t>
      </w:r>
      <w:r>
        <w:t xml:space="preserve">Facial Makeup; and</w:t>
      </w:r>
    </w:p>
    <w:p>
      <w:pPr>
        <w:pStyle w:val="kar_paragraph"/>
      </w:pPr>
      <w:r>
        <w:t xml:space="preserve">(d)</w:t>
      </w:r>
      <w:r>
        <w:t xml:space="preserve"> </w:t>
      </w:r>
      <w: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w:t>
      </w:r>
    </w:p>
    <w:p>
      <w:pPr>
        <w:pStyle w:val="kar_paragraph"/>
      </w:pPr>
      <w:r>
        <w:t xml:space="preserve">(e)</w:t>
      </w:r>
      <w:r>
        <w:t xml:space="preserve"> </w:t>
      </w:r>
      <w:r>
        <w:t xml:space="preserve">Light Cured Gels;</w:t>
      </w:r>
    </w:p>
    <w:p>
      <w:pPr>
        <w:pStyle w:val="kar_paragraph"/>
      </w:pPr>
      <w:r>
        <w:t xml:space="preserve">(f)</w:t>
      </w:r>
      <w:r>
        <w:t xml:space="preserve"> </w:t>
      </w:r>
      <w:r>
        <w:t xml:space="preserve">Nail Structure and Growth; and</w:t>
      </w:r>
    </w:p>
    <w:p>
      <w:pPr>
        <w:pStyle w:val="kar_paragraph"/>
      </w:pPr>
      <w:r>
        <w:t xml:space="preserve">(g)</w:t>
      </w:r>
      <w:r>
        <w:t xml:space="preserve"> </w:t>
      </w:r>
      <w:r>
        <w:t xml:space="preserve">Nail Diseases and Disorders.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or program of instruction of any practice licensed or permitted in KRS Chapter 317A or 201 KAR Chapter 12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nine (9)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or programs of instruction of any practice licensed or permitted in KRS Chapter 317A or 201 KAR Chapter 12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of any practice licensed or permitted in KRS Chapter 317A or 201 KAR Chapter 12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w:t>
      </w:r>
    </w:p>
    <w:p>
      <w:pPr>
        <w:pStyle w:val="kar_subsection"/>
      </w:pPr>
      <w:r>
        <w:t xml:space="preserve">(1)</w:t>
      </w:r>
      <w:r>
        <w:t xml:space="preserve"> </w:t>
      </w:r>
      <w:r>
        <w:t xml:space="preserve">An apprentice instructor shall be under the immediate supervision and instruction of a licensed instructor while providing any instruction for students. "Immediate supervision" requires that a licensed instructor is physically present in the same room and overseeing the activities of the apprentice instructor at all times.</w:t>
      </w:r>
    </w:p>
    <w:p>
      <w:pPr>
        <w:pStyle w:val="kar_subsection"/>
      </w:pPr>
      <w:r>
        <w:t xml:space="preserve">(2)</w:t>
      </w:r>
      <w:r>
        <w:t xml:space="preserve"> </w:t>
      </w:r>
      <w:r>
        <w:t xml:space="preserve">An apprentice instructor shall not assume the duties and responsibilities of a licensed supervising instructor.</w:t>
      </w:r>
    </w:p>
    <w:p>
      <w:pPr>
        <w:pStyle w:val="kar_subsection"/>
      </w:pPr>
      <w:r>
        <w:t xml:space="preserve">(3)</w:t>
      </w:r>
      <w:r>
        <w:t xml:space="preserve"> </w:t>
      </w:r>
      <w:r>
        <w:t xml:space="preserve">An apprentice instructor shall not teach any practices defined in KRS Chapter 317A or 201 KAR Chapter 12 outside of the board licensed school in which the individual is enrolled.</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Schools may enroll persons for a special supplemental course in any subject.</w:t>
      </w:r>
    </w:p>
    <w:p>
      <w:pPr>
        <w:pStyle w:val="kar_section"/>
      </w:pPr>
      <w:r>
        <w:t xml:space="preserve">Section 12.</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Massage;</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w:t>
      </w:r>
    </w:p>
    <w:p>
      <w:pPr>
        <w:pStyle w:val="kar_paragraph"/>
      </w:pPr>
      <w:r>
        <w:t xml:space="preserve">(g)</w:t>
      </w:r>
      <w:r>
        <w:t xml:space="preserve"> </w:t>
      </w:r>
      <w:r>
        <w:t xml:space="preserve">Application of Artificial Eyelashes; and</w:t>
      </w:r>
    </w:p>
    <w:p>
      <w:pPr>
        <w:pStyle w:val="kar_paragraph"/>
      </w:pPr>
      <w:r>
        <w:t xml:space="preserve">(h)</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13.</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14.</w:t>
      </w:r>
      <w:r>
        <w:t xml:space="preserve"> </w:t>
      </w:r>
      <w:r>
        <w:t xml:space="preserve">Shampoo Styling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or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15.</w:t>
      </w:r>
      <w:r>
        <w:t xml:space="preserve"> </w:t>
      </w:r>
      <w:r>
        <w:t xml:space="preserve">Shampoo Styling License Hours Required.</w:t>
      </w:r>
    </w:p>
    <w:p>
      <w:pPr>
        <w:pStyle w:val="kar_subsection"/>
      </w:pPr>
      <w:r>
        <w:t xml:space="preserve">(1)</w:t>
      </w:r>
      <w:r>
        <w:t xml:space="preserve"> </w:t>
      </w:r>
      <w:r>
        <w:t xml:space="preserve">A shampoo styling services license student shall receive no less than 300 hours in clinical and theory class work with a minimum of:</w:t>
      </w:r>
    </w:p>
    <w:p>
      <w:pPr>
        <w:pStyle w:val="kar_paragraph"/>
      </w:pPr>
      <w:r>
        <w:t xml:space="preserve">(a)</w:t>
      </w:r>
      <w:r>
        <w:t xml:space="preserve"> </w:t>
      </w:r>
      <w:r>
        <w:t xml:space="preserve">100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175 clinic and practice hours.</w:t>
      </w:r>
    </w:p>
    <w:p>
      <w:pPr>
        <w:pStyle w:val="kar_subsection"/>
      </w:pPr>
      <w:r>
        <w:t xml:space="preserve">(2)</w:t>
      </w:r>
      <w:r>
        <w:t xml:space="preserve"> </w:t>
      </w:r>
      <w:r>
        <w:t xml:space="preserve">A shampoo styling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16.</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totaling not more than forty-eight (48) hours and not to exceed nine(9)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17.</w:t>
      </w:r>
      <w:r>
        <w:t xml:space="preserve"> </w:t>
      </w:r>
      <w:r>
        <w:t xml:space="preserve">Student Records. Each school shall:</w:t>
      </w:r>
    </w:p>
    <w:p>
      <w:pPr>
        <w:pStyle w:val="kar_subsection"/>
      </w:pPr>
      <w:r>
        <w:t xml:space="preserve">(1)</w:t>
      </w:r>
      <w:r>
        <w:t xml:space="preserve"> </w:t>
      </w:r>
      <w:r>
        <w:t xml:space="preserve">Maintain a legible and accurate daily attendance record used only for the verification and tracking of the required contact hours for education for all full-time students, part-time students, and apprentice instructors with records that shall be recorded using a digital biometric time keeping program as follows:</w:t>
      </w:r>
    </w:p>
    <w:p>
      <w:pPr>
        <w:pStyle w:val="kar_paragraph"/>
      </w:pPr>
      <w:r>
        <w:t xml:space="preserve">(a)</w:t>
      </w:r>
      <w:r>
        <w:t xml:space="preserve"> </w:t>
      </w:r>
      <w:r>
        <w:t xml:space="preserve">All beginning, end, break, and lunch times shall be recorded; and</w:t>
      </w:r>
    </w:p>
    <w:p>
      <w:pPr>
        <w:pStyle w:val="kar_paragraph"/>
      </w:pPr>
      <w:r>
        <w:t xml:space="preserve">(b)</w:t>
      </w:r>
      <w:r>
        <w:t xml:space="preserve"> </w:t>
      </w:r>
      <w:r>
        <w:t xml:space="preserve">All instructors shall comply with the biometric time keeping system.</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18.</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tenth day of each month, a licensed school shall submit to the board via electronic delivery a certification of each student's or apprentice instructor's total hours obtained for the previous month and the total accumulated hours to date for all individuals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19.</w:t>
      </w:r>
      <w:r>
        <w:t xml:space="preserve"> </w:t>
      </w:r>
      <w:r>
        <w:t xml:space="preserve">No Additional Fees. Schools shall not charge the enrolled individual additional fees beyond the agreed upon contracted amount.</w:t>
      </w:r>
    </w:p>
    <w:p>
      <w:pPr>
        <w:pStyle w:val="kar_section"/>
      </w:pPr>
      <w:r>
        <w:t xml:space="preserve">Section 20.</w:t>
      </w:r>
      <w:r>
        <w:t xml:space="preserve"> </w:t>
      </w:r>
      <w:r>
        <w:t xml:space="preserve">Instructor Licensing and Responsibilities.</w:t>
      </w:r>
    </w:p>
    <w:p>
      <w:pPr>
        <w:pStyle w:val="kar_subsection"/>
      </w:pPr>
      <w:r>
        <w:t xml:space="preserve">(1)</w:t>
      </w:r>
      <w:r>
        <w:t xml:space="preserve"> </w:t>
      </w:r>
      <w:r>
        <w:t xml:space="preserve">A person employed by a school or program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or apprentice instructor to perform services in the school for compensation.</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or programs of instruction in any practice licensed or permitted in KRS Chapter 317A or 201 KAR Chapter 12 shall, at all times, maintain a minimum faculty to student ratio of one (1) instructor for every twenty-five (25) students supervised; provided, however, that any apprentice instructors shall not be considered students for purposes of computation of the faculty to student ratio.</w:t>
      </w:r>
    </w:p>
    <w:p>
      <w:pPr>
        <w:pStyle w:val="kar_subsection"/>
      </w:pPr>
      <w:r>
        <w:t xml:space="preserve">(9)</w:t>
      </w:r>
      <w:r>
        <w:t xml:space="preserve"> </w:t>
      </w:r>
      <w:r>
        <w:t xml:space="preserve">Licensed schools or programs of instruction in any practice licensed or permitted in KRS Chapter 317A or 201 KAR Chapter 12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ubsection"/>
      </w:pPr>
      <w:r>
        <w:t xml:space="preserve">(11)</w:t>
      </w:r>
      <w:r>
        <w:t xml:space="preserve"> </w:t>
      </w:r>
      <w:r>
        <w:t xml:space="preserve">All instructors on staff within a licensed school shall be designated as full-time, part-time, or substitute instructors to the board when reporting employment.</w:t>
      </w:r>
    </w:p>
    <w:p>
      <w:pPr>
        <w:pStyle w:val="kar_subsection"/>
      </w:pPr>
      <w:r>
        <w:t xml:space="preserve">(12)</w:t>
      </w:r>
      <w:r>
        <w:t xml:space="preserve"> </w:t>
      </w:r>
      <w:r>
        <w:t xml:space="preserve">An instructor shall not provide instruction regarding "basic exfoliation during dermaplane techniques" or "dermaplaning" unless the instructor shall have submitted evidence demonstrating the completion of courses and specialized training regarding dermaplaning that is deemed sufficient by the board to safely instruct students regarding these techniques.</w:t>
      </w:r>
    </w:p>
    <w:p>
      <w:pPr>
        <w:pStyle w:val="kar_section"/>
      </w:pPr>
      <w:r>
        <w:t xml:space="preserve">Section 21.</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22.</w:t>
      </w:r>
      <w:r>
        <w:t xml:space="preserve"> </w:t>
      </w:r>
      <w:r>
        <w:t xml:space="preserve">Enrollment.</w:t>
      </w:r>
    </w:p>
    <w:p>
      <w:pPr>
        <w:pStyle w:val="kar_subsection"/>
      </w:pPr>
      <w:r>
        <w:t xml:space="preserve">(1)</w:t>
      </w:r>
      <w:r>
        <w:t xml:space="preserve"> </w:t>
      </w:r>
      <w:r>
        <w:t xml:space="preserve">Any person enrolling in a school or program for instruction in any practice licensed or permitted in KRS Chapter 317A or 201 KAR Chapter 12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grade 12.</w:t>
      </w:r>
    </w:p>
    <w:p>
      <w:pPr>
        <w:pStyle w:val="kar_paragraph"/>
      </w:pPr>
      <w:r>
        <w:t xml:space="preserve">(d)</w:t>
      </w:r>
      <w:r>
        <w:t xml:space="preserve"> </w:t>
      </w:r>
      <w:r>
        <w:t xml:space="preserve">Apprentice instructors shall provide proof of individual licensure issued at minimum one (1) year prior to enrollment date to demonstrate compliance with the applicable requirements set forth in KRS 317A.050.</w:t>
      </w:r>
    </w:p>
    <w:p>
      <w:pPr>
        <w:pStyle w:val="kar_subsection"/>
      </w:pPr>
      <w:r>
        <w:t xml:space="preserve">(2)</w:t>
      </w:r>
      <w:r>
        <w:t xml:space="preserve"> </w:t>
      </w:r>
      <w:r>
        <w:t xml:space="preserve">The applicant shall provide with the enrollment a passport-style photograph taken within thirty (30) days of submission of the application.</w:t>
      </w:r>
    </w:p>
    <w:p>
      <w:pPr>
        <w:pStyle w:val="kar_subsection"/>
      </w:pPr>
      <w:r>
        <w:t xml:space="preserve">(3)</w:t>
      </w:r>
      <w:r>
        <w:t xml:space="preserve"> </w:t>
      </w:r>
      <w:r>
        <w:t xml:space="preserve">A student or apprentice instructor enrolling in a licensed school who desires to transfer hours from an out-of-state school shall, prior to enrollment, provide to the board certification of the hours to be transferred from the state agency that governs the out-of-state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shall not be necessary until examination.</w:t>
      </w:r>
    </w:p>
    <w:p>
      <w:pPr>
        <w:pStyle w:val="kar_subsection"/>
      </w:pPr>
      <w:r>
        <w:t xml:space="preserve">(5)</w:t>
      </w:r>
      <w:r>
        <w:t xml:space="preserve"> </w:t>
      </w:r>
      <w:r>
        <w:t xml:space="preserve">All enrollments shall be accompanied by the proper fee as established in 201 KAR 12:260.</w:t>
      </w:r>
    </w:p>
    <w:p>
      <w:pPr>
        <w:pStyle w:val="kar_section"/>
      </w:pPr>
      <w:r>
        <w:t xml:space="preserve">Section 23.</w:t>
      </w:r>
      <w:r>
        <w:t xml:space="preserve"> </w:t>
      </w:r>
      <w:r>
        <w:t xml:space="preserve">Certificate of Enrollment.</w:t>
      </w:r>
    </w:p>
    <w:p>
      <w:pPr>
        <w:pStyle w:val="kar_subsection"/>
      </w:pPr>
      <w:r>
        <w:t xml:space="preserve">(1)</w:t>
      </w:r>
      <w:r>
        <w:t xml:space="preserve"> </w:t>
      </w:r>
      <w:r>
        <w:t xml:space="preserve">Schools shall submit to the board a digital enrollment, accompanied by the applicant's proof of education and proof of licensure if enrolling as an apprentice instructor, as established in Section 23 of this administrative regulation, within ten (10) business days of enrollment.</w:t>
      </w:r>
    </w:p>
    <w:p>
      <w:pPr>
        <w:pStyle w:val="kar_subsection"/>
      </w:pPr>
      <w:r>
        <w:t xml:space="preserve">(2)</w:t>
      </w:r>
      <w:r>
        <w:t xml:space="preserve"> </w:t>
      </w:r>
      <w:r>
        <w:t xml:space="preserve">All identification information submitted on the school's digital enrollment shall exactly match a state or federal government-issued identification card to take the examination. If corrections shall be made, the school shall submit the Enrollment Correction Application digitally and the enrollment correction fee in 201 KAR 12:260 within ten (10) days of the erroneous submission. Students with incorrect enrollment information shall not be registered for an examination.</w:t>
      </w:r>
    </w:p>
    <w:p>
      <w:pPr>
        <w:pStyle w:val="kar_section"/>
      </w:pPr>
      <w:r>
        <w:t xml:space="preserve">Section 24.</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ubsection"/>
      </w:pPr>
      <w:r>
        <w:t xml:space="preserve">(4)</w:t>
      </w:r>
      <w:r>
        <w:t xml:space="preserve"> </w:t>
      </w:r>
      <w:r>
        <w:t xml:space="preserve">An apprentice instructor may receive compensation as a teaching assistant.</w:t>
      </w:r>
    </w:p>
    <w:p>
      <w:pPr>
        <w:pStyle w:val="kar_section"/>
      </w:pPr>
      <w:r>
        <w:t xml:space="preserve">Section 25.</w:t>
      </w:r>
      <w:r>
        <w:t xml:space="preserve"> </w:t>
      </w:r>
      <w:r>
        <w:t xml:space="preserve">Hours of Operation. All schools shall report hours of operation to the board. Any change of hours or closures shall be reported no less than ten (10) business days in advance of change or closure.</w:t>
      </w:r>
    </w:p>
    <w:p>
      <w:pPr>
        <w:pStyle w:val="kar_section"/>
      </w:pPr>
      <w:r>
        <w:t xml:space="preserve">Section 26.</w:t>
      </w:r>
      <w:r>
        <w:t xml:space="preserve"> </w:t>
      </w:r>
      <w:r>
        <w:t xml:space="preserve">Transfers. An individual desiring to transfer to another licensed school shall:</w:t>
      </w:r>
    </w:p>
    <w:p>
      <w:pPr>
        <w:pStyle w:val="kar_subsection"/>
      </w:pPr>
      <w:r>
        <w:t xml:space="preserve">(1)</w:t>
      </w:r>
      <w:r>
        <w:t xml:space="preserve"> </w:t>
      </w:r>
      <w:r>
        <w:t xml:space="preserve">Within ten (10) days, notify the school in which the individual is presently enrolled of the withdrawal in writing; and</w:t>
      </w:r>
    </w:p>
    <w:p>
      <w:pPr>
        <w:pStyle w:val="kar_subsection"/>
      </w:pPr>
      <w:r>
        <w:t xml:space="preserve">(2)</w:t>
      </w:r>
      <w:r>
        <w:t xml:space="preserve"> </w:t>
      </w:r>
      <w:r>
        <w:t xml:space="preserve">Complete a digital enrollment as required for the new school.</w:t>
      </w:r>
    </w:p>
    <w:p>
      <w:pPr>
        <w:pStyle w:val="kar_section"/>
      </w:pPr>
      <w:r>
        <w:t xml:space="preserve">Section 27.</w:t>
      </w:r>
      <w:r>
        <w:t xml:space="preserve"> </w:t>
      </w:r>
      <w:r>
        <w:t xml:space="preserve">Refund Policy. A school shall include the school's refund policy in all enrollment contracts.</w:t>
      </w:r>
    </w:p>
    <w:p>
      <w:pPr>
        <w:pStyle w:val="kar_section"/>
      </w:pPr>
      <w:r>
        <w:t xml:space="preserve">Section 28.</w:t>
      </w:r>
      <w:r>
        <w:t xml:space="preserve"> </w:t>
      </w:r>
      <w:r>
        <w:t xml:space="preserve">Student Complaints. A student or apprentice instructor may file a complaint with the board concerning the school in which the individual is enrolled, by following the procedures outlined in 201 KAR 12:190.</w:t>
      </w:r>
    </w:p>
    <w:p>
      <w:pPr>
        <w:pStyle w:val="kar_section"/>
      </w:pPr>
      <w:r>
        <w:t xml:space="preserve">Section 29.</w:t>
      </w:r>
      <w:r>
        <w:t xml:space="preserve"> </w:t>
      </w:r>
      <w:r>
        <w:t xml:space="preserve">Student Leave of Absence. The school shall report an individual's leave of absence to the board within ten (10) business days. The leave shall be reported:</w:t>
      </w:r>
    </w:p>
    <w:p>
      <w:pPr>
        <w:pStyle w:val="kar_subsection"/>
      </w:pPr>
      <w:r>
        <w:t xml:space="preserve">(1)</w:t>
      </w:r>
      <w:r>
        <w:t xml:space="preserve"> </w:t>
      </w:r>
      <w:r>
        <w:t xml:space="preserve">In writing from the individual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30.</w:t>
      </w:r>
      <w:r>
        <w:t xml:space="preserve"> </w:t>
      </w:r>
      <w:r>
        <w:t xml:space="preserve">Withdrawal. Within ten (10) business days from a student or apprentice instructor's withdrawal, a licensed school shall report the name of the withdrawing individual to the board.</w:t>
      </w:r>
    </w:p>
    <w:p>
      <w:pPr>
        <w:pStyle w:val="kar_section"/>
      </w:pPr>
      <w:r>
        <w:t xml:space="preserve">Section 31.</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32.</w:t>
      </w:r>
      <w:r>
        <w:t xml:space="preserve"> </w:t>
      </w:r>
      <w:r>
        <w:t xml:space="preserve">Program Transfer Hours. An individual transferring valid hours between board licensed schools or a current licensee choosing to enroll into a licensed school to learn the practice of cosmetology, esthetics, shampoo styling, or nail technology shall complete and submit the Program Hour Transfer Request form. With exceptions as listed in subsection 1 through 4 of this section, an individual shall not transfer hours from one (1) discipline to another. Upon receiving a completed Program Hour Transfer Request form, the board shall treat the transferred valid hours or 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shampoo styling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t xml:space="preserve">Section 33.</w:t>
      </w:r>
      <w:r>
        <w:t xml:space="preserve"> </w:t>
      </w:r>
      <w:r>
        <w:t xml:space="preserve">Emergency Alternative Education. Digital theory content may be administered by a licensed school when authorized by the Executive Director due to a world health concern or crisis or other national, regional, state, or local emergency . The Executive Director may determine when emergency alternative education shall begin and end based on the effect of any declared state of emergency on education standards or by consideration of the nature of the emergency, and shall make determinations in compliance with state and national declarations of emergency. The necessary compliance steps for implementation are as follows:</w:t>
      </w:r>
    </w:p>
    <w:p>
      <w:pPr>
        <w:pStyle w:val="kar_subsection"/>
      </w:pPr>
      <w:r>
        <w:t xml:space="preserve">(1)</w:t>
      </w:r>
      <w:r>
        <w:t xml:space="preserve"> </w:t>
      </w:r>
      <w:r>
        <w:t xml:space="preserve">Full auditable attendance records shall be kept showing actual contact time spent by a student in the instruction module.</w:t>
      </w:r>
    </w:p>
    <w:p>
      <w:pPr>
        <w:pStyle w:val="kar_subsection"/>
      </w:pPr>
      <w:r>
        <w:t xml:space="preserve">(2)</w:t>
      </w:r>
      <w:r>
        <w:t xml:space="preserve"> </w:t>
      </w:r>
      <w:r>
        <w:t xml:space="preserve">Milady or Pivot Point supported digital curriculum platforms or recorded video conference participation shall be used.</w:t>
      </w:r>
    </w:p>
    <w:p>
      <w:pPr>
        <w:pStyle w:val="kar_subsection"/>
      </w:pPr>
      <w:r>
        <w:t xml:space="preserve">(3)</w:t>
      </w:r>
      <w:r>
        <w:t xml:space="preserve"> </w:t>
      </w:r>
      <w:r>
        <w:t xml:space="preserve">Schools shall submit an outline to the board within ten (10) days of the occurrence of the alternative education defining the content scope to be taught or completed, and a plan for a transition into a digital training environment. Plans may be submitted for approval by the board to be kept for future use if emergency alternative education is allowable.</w:t>
      </w:r>
    </w:p>
    <w:p>
      <w:pPr>
        <w:pStyle w:val="kar_subsection"/>
      </w:pPr>
      <w:r>
        <w:t xml:space="preserve">(4)</w:t>
      </w:r>
      <w:r>
        <w:t xml:space="preserve"> </w:t>
      </w:r>
      <w:r>
        <w:t xml:space="preserve">Completion certificates showing final scoring on digital modules shall be maintained in student records.</w:t>
      </w:r>
    </w:p>
    <w:p>
      <w:pPr>
        <w:pStyle w:val="kar_subsection"/>
      </w:pPr>
      <w:r>
        <w:t xml:space="preserve">(5)</w:t>
      </w:r>
      <w:r>
        <w:t xml:space="preserve"> </w:t>
      </w:r>
      <w:r>
        <w:t xml:space="preserve">Schools and students shall comply with Section 4 of this administrative regulation on accessible hours.</w:t>
      </w:r>
    </w:p>
    <w:p>
      <w:pPr>
        <w:pStyle w:val="kar_subsection"/>
      </w:pPr>
      <w:r>
        <w:t xml:space="preserve">(6)</w:t>
      </w:r>
      <w:r>
        <w:t xml:space="preserve"> </w:t>
      </w:r>
      <w:r>
        <w:t xml:space="preserve">No student shall accrue more than the total required theory instruction hours outlined in the instructional sections in emergency alternative education time as established in Sections 3(1)(a), 7(1)(a), 14(1)(a), and 16(1)(a) of this administrative regulation.</w:t>
      </w:r>
    </w:p>
    <w:p>
      <w:pPr>
        <w:pStyle w:val="kar_subsection"/>
      </w:pPr>
      <w:r>
        <w:t xml:space="preserve">(7)</w:t>
      </w:r>
      <w:r>
        <w:t xml:space="preserve"> </w:t>
      </w:r>
      <w:r>
        <w:t xml:space="preserve">The board may determine eligibility for accruals based on duration of the crisis and applicable time limits for alternative emergency education availability.</w:t>
      </w:r>
    </w:p>
    <w:p>
      <w:pPr>
        <w:pStyle w:val="kar_section"/>
      </w:pPr>
      <w:r>
        <w:t xml:space="preserve">Section 34.</w:t>
      </w:r>
      <w:r>
        <w:t xml:space="preserve"> </w:t>
      </w:r>
      <w:r>
        <w:t xml:space="preserve">Incorporation by Reference. The following material is incorporated by reference:</w:t>
      </w:r>
    </w:p>
    <w:p>
      <w:pPr>
        <w:pStyle w:val="kar_subsection"/>
      </w:pPr>
      <w:r>
        <w:t xml:space="preserve">(1)</w:t>
      </w:r>
      <w:r>
        <w:t xml:space="preserve"> </w:t>
      </w:r>
    </w:p>
    <w:p>
      <w:pPr>
        <w:pStyle w:val="kar_paragraph"/>
      </w:pPr>
      <w:r>
        <w:t xml:space="preserve">(a)</w:t>
      </w:r>
      <w:r>
        <w:t xml:space="preserve"> </w:t>
      </w:r>
      <w:r>
        <w:t xml:space="preserve">"Certification of Student Extracurricular Event Hours", December 2024;</w:t>
      </w:r>
    </w:p>
    <w:p>
      <w:pPr>
        <w:pStyle w:val="kar_paragraph"/>
      </w:pPr>
      <w:r>
        <w:t xml:space="preserve">(b)</w:t>
      </w:r>
      <w:r>
        <w:t xml:space="preserve"> </w:t>
      </w:r>
      <w:r>
        <w:t xml:space="preserve">"Enrollment Correction Application", December 2024; and</w:t>
      </w:r>
    </w:p>
    <w:p>
      <w:pPr>
        <w:pStyle w:val="kar_paragraph"/>
      </w:pPr>
      <w:r>
        <w:t xml:space="preserve">(c)</w:t>
      </w:r>
      <w:r>
        <w:t xml:space="preserve"> </w:t>
      </w:r>
      <w:r>
        <w:t xml:space="preserve">"Program Transfer Form", December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This material is also available on the board's Web site at kbc.ky.gov.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ab10b431104e26" /><Relationship Type="http://schemas.openxmlformats.org/officeDocument/2006/relationships/settings" Target="/word/settings.xml" Id="R7033ae49ec714cfb" /></Relationships>
</file>