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fae2980ced425b" /></Relationships>
</file>

<file path=word/document.xml><?xml version="1.0" encoding="utf-8"?>
<w:document xmlns:w="http://schemas.openxmlformats.org/wordprocessingml/2006/main">
  <w:body>
    <w:p>
      <w:pPr>
        <w:pStyle w:val="kar_citation"/>
      </w:pPr>
      <w:r>
        <w:t>922 KAR 1:360.</w:t>
      </w:r>
      <w:r>
        <w:t xml:space="preserve"> </w:t>
      </w:r>
      <w:r>
        <w:t xml:space="preserve">Private child care placement, levels of care, and payment.</w:t>
      </w:r>
    </w:p>
    <w:p>
      <w:pPr>
        <w:pStyle w:val="kar_markup_metadata"/>
      </w:pPr>
      <w:r>
        <w:t xml:space="preserve">RELATES TO: </w:t>
      </w:r>
      <w:r>
        <w:t xml:space="preserve">KRS 199.011, 199.640-199.680, 199.801, 600.020(25), 42 U.S.C. 622, 672, 675, 675a</w:t>
      </w:r>
    </w:p>
    <w:p>
      <w:pPr>
        <w:pStyle w:val="kar_markup_metadata"/>
      </w:pPr>
      <w:r>
        <w:t xml:space="preserve">STATUTORY AUTHORITY: </w:t>
      </w:r>
      <w:r>
        <w:t xml:space="preserve">KRS 194A.050(1), 199.641(4), 605.090(1)(d), 605.150(1)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levels of care based upon the needs of a child for whom the cabinet has legal responsibility; (b) a payment rate for each level and placement setting; (c) gatekeeper responsibilities; (d) provider requirements; (e) procedures for classification at the appropriate level of care and placement setting;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the standard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and placement setting in accordance with Section 2(2) of this administrative regulation.</w:t>
      </w:r>
    </w:p>
    <w:p>
      <w:pPr>
        <w:pStyle w:val="kar_subsection"/>
      </w:pPr>
      <w:r>
        <w:t xml:space="preserve">(11)</w:t>
      </w:r>
      <w:r>
        <w:t xml:space="preserve"> </w:t>
      </w:r>
      <w:r>
        <w:t xml:space="preserve">"Medically complex" means a child who is determined to have a medical condition as defined by 922 KAR 1:495 and further described in 922 KAR 1:350, Section 6.</w:t>
      </w:r>
    </w:p>
    <w:p>
      <w:pPr>
        <w:pStyle w:val="kar_subsection"/>
      </w:pPr>
      <w:r>
        <w:t xml:space="preserve">(12)</w:t>
      </w:r>
      <w:r>
        <w:t xml:space="preserve"> </w:t>
      </w:r>
      <w:r>
        <w:t xml:space="preserve">"Model program cost analysis" is defined by KRS 199.641(1)(c).</w:t>
      </w:r>
    </w:p>
    <w:p>
      <w:pPr>
        <w:pStyle w:val="kar_subsection"/>
      </w:pPr>
      <w:r>
        <w:t xml:space="preserve">(13)</w:t>
      </w:r>
      <w:r>
        <w:t xml:space="preserve"> </w:t>
      </w:r>
      <w:r>
        <w:t xml:space="preserve">"Placement coordinator" means an individual whose responsibilities are established in KRS 199.801.</w:t>
      </w:r>
    </w:p>
    <w:p>
      <w:pPr>
        <w:pStyle w:val="kar_subsection"/>
      </w:pPr>
      <w:r>
        <w:t xml:space="preserve">(14)</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(15)</w:t>
      </w:r>
      <w:r>
        <w:t xml:space="preserve"> </w:t>
      </w:r>
      <w:r>
        <w:t xml:space="preserve">"Time study" is defined by KRS 199.641(1)(d).</w:t>
      </w:r>
    </w:p>
    <w:p>
      <w:pPr>
        <w:pStyle w:val="kar_subsection"/>
      </w:pPr>
      <w:r>
        <w:t xml:space="preserve">(16)</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 treatment, service, and supervision needs;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is referred for placement with a child-caring facility or child-placing agency;</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 including:</w:t>
      </w:r>
    </w:p>
    <w:p>
      <w:pPr>
        <w:pStyle w:val="kar_subparagraph"/>
      </w:pPr>
      <w:r>
        <w:t xml:space="preserve">1.</w:t>
      </w:r>
      <w:r>
        <w:t xml:space="preserve"> </w:t>
      </w:r>
      <w:r>
        <w:t xml:space="preserve">Any significant medical history;</w:t>
      </w:r>
    </w:p>
    <w:p>
      <w:pPr>
        <w:pStyle w:val="kar_subparagraph"/>
      </w:pPr>
      <w:r>
        <w:t xml:space="preserve">2.</w:t>
      </w:r>
      <w:r>
        <w:t xml:space="preserve"> </w:t>
      </w:r>
      <w:r>
        <w:t xml:space="preserve">Current diagnoses, assessments, and treatment; and</w:t>
      </w:r>
    </w:p>
    <w:p>
      <w:pPr>
        <w:pStyle w:val="kar_subparagraph"/>
      </w:pPr>
      <w:r>
        <w:t xml:space="preserve">3.</w:t>
      </w:r>
      <w:r>
        <w:t xml:space="preserve"> </w:t>
      </w:r>
      <w:r>
        <w:t xml:space="preserve">Documentation indicating the child's medically complex status if the child is medically complex;</w:t>
      </w:r>
    </w:p>
    <w:p>
      <w:pPr>
        <w:pStyle w:val="kar_paragraph"/>
      </w:pPr>
      <w:r>
        <w:t xml:space="preserve">(e)</w:t>
      </w:r>
      <w:r>
        <w:t xml:space="preserve"> </w:t>
      </w:r>
      <w:r>
        <w:t xml:space="preserve">Behavioral health needs including:</w:t>
      </w:r>
    </w:p>
    <w:p>
      <w:pPr>
        <w:pStyle w:val="kar_subparagraph"/>
      </w:pPr>
      <w:r>
        <w:t xml:space="preserve">1.</w:t>
      </w:r>
      <w:r>
        <w:t xml:space="preserve"> </w:t>
      </w:r>
      <w:r>
        <w:t xml:space="preserve">Screening tools utilized based upon the child's age; and</w:t>
      </w:r>
    </w:p>
    <w:p>
      <w:pPr>
        <w:pStyle w:val="kar_subparagraph"/>
      </w:pPr>
      <w:r>
        <w:t xml:space="preserve">2.</w:t>
      </w:r>
      <w:r>
        <w:t xml:space="preserve"> </w:t>
      </w:r>
      <w:r>
        <w:t xml:space="preserve">Current diagnoses, assessments, and treatment recommendations;</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other court involvement;</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 and</w:t>
      </w:r>
    </w:p>
    <w:p>
      <w:pPr>
        <w:pStyle w:val="kar_paragraph"/>
      </w:pPr>
      <w:r>
        <w:t xml:space="preserve">(k)</w:t>
      </w:r>
      <w:r>
        <w:t xml:space="preserve"> </w:t>
      </w:r>
      <w:r>
        <w:t xml:space="preserve">Religious background and practices.</w:t>
      </w:r>
    </w:p>
    <w:p>
      <w:pPr>
        <w:pStyle w:val="kar_subsection"/>
      </w:pPr>
      <w:r>
        <w:t xml:space="preserve">(3)</w:t>
      </w:r>
      <w:r>
        <w:t xml:space="preserve"> </w:t>
      </w:r>
      <w:r>
        <w:t xml:space="preserve"> </w:t>
      </w:r>
    </w:p>
    <w:p>
      <w:pPr>
        <w:pStyle w:val="kar_paragraph"/>
      </w:pPr>
      <w:r>
        <w:t xml:space="preserve">(a)</w:t>
      </w:r>
      <w:r>
        <w:t xml:space="preserve"> </w:t>
      </w:r>
      <w:r>
        <w:t xml:space="preserve">If a child needs placement within a child-caring facility or a child-placing agency,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DPP-114, Child Caring and Child Placing Level of Care Schedule with the level of care payment rate for placement type: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and his or her personal belongings that are small enough to be carried 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t xml:space="preserve">Evaluate a child referred by the cabinet or currently placed in a child-caring facility or child-placing agency for the purpose of establishing an initial or reassigned level of care. The child shall be:</w:t>
      </w:r>
    </w:p>
    <w:p>
      <w:pPr>
        <w:pStyle w:val="kar_paragraph"/>
      </w:pPr>
      <w:r>
        <w:t xml:space="preserve">(a)</w:t>
      </w:r>
      <w:r>
        <w:t xml:space="preserve"> </w:t>
      </w:r>
      <w:r>
        <w:t xml:space="preserve">Four (4) years of age or older; or</w:t>
      </w:r>
    </w:p>
    <w:p>
      <w:pPr>
        <w:pStyle w:val="kar_paragraph"/>
      </w:pPr>
      <w:r>
        <w:t xml:space="preserve">(b)</w:t>
      </w:r>
      <w:r>
        <w:t xml:space="preserve"> </w:t>
      </w:r>
      <w:r>
        <w:t xml:space="preserve">Determined to be medically complex by designated cabinet staff;</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an assessment of the child's treatment, supervision, and service needs consistent with one (1) of the three (3) levels of care; and</w:t>
      </w:r>
    </w:p>
    <w:p>
      <w:pPr>
        <w:pStyle w:val="kar_paragraph"/>
      </w:pPr>
      <w:r>
        <w:t xml:space="preserve">(b)</w:t>
      </w:r>
      <w:r>
        <w:t xml:space="preserve"> </w:t>
      </w:r>
      <w:r>
        <w:t xml:space="preserve">Return the completed CRP-6, Children's Review Program Notice of Level of Care Payment Authorization Assignment, to the department and the child-caring facility or the child-placing agency;</w:t>
      </w:r>
    </w:p>
    <w:p>
      <w:pPr>
        <w:pStyle w:val="kar_subsection"/>
      </w:pPr>
      <w:r>
        <w:t xml:space="preserve">(3)</w:t>
      </w:r>
      <w:r>
        <w:t xml:space="preserve"> </w:t>
      </w:r>
      <w:r>
        <w:t xml:space="preserve">Assess a child placed in a child-caring facility in accordance with 42 U.S.C, 675a(c) within the first thirty (30) days of placement;</w:t>
      </w:r>
    </w:p>
    <w:p>
      <w:pPr>
        <w:pStyle w:val="kar_subsection"/>
      </w:pPr>
      <w:r>
        <w:t xml:space="preserve">(4)</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r>
        <w:t xml:space="preserve"> </w:t>
      </w:r>
    </w:p>
    <w:p>
      <w:pPr>
        <w:pStyle w:val="kar_subparagraph"/>
      </w:pPr>
      <w:r>
        <w:t xml:space="preserve">1.</w:t>
      </w:r>
      <w:r>
        <w:t xml:space="preserve"> </w:t>
      </w:r>
      <w:r>
        <w:t xml:space="preserve">Every three (3) months thereafter if the child is in a child-caring facility;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t xml:space="preserve">(5)</w:t>
      </w:r>
      <w:r>
        <w:t xml:space="preserve"> </w:t>
      </w:r>
      <w:r>
        <w:t xml:space="preserve">Reassign a child's level of care after the previous level has expired;</w:t>
      </w:r>
    </w:p>
    <w:p>
      <w:pPr>
        <w:pStyle w:val="kar_subsection"/>
      </w:pPr>
      <w:r>
        <w:t xml:space="preserve">(6)</w:t>
      </w:r>
      <w:r>
        <w:t xml:space="preserve"> </w:t>
      </w:r>
      <w:r>
        <w:t xml:space="preserve">Monitor each child-caring facility and child-placing agency;</w:t>
      </w:r>
    </w:p>
    <w:p>
      <w:pPr>
        <w:pStyle w:val="kar_subsection"/>
      </w:pPr>
      <w:r>
        <w:t xml:space="preserve">(7)</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t xml:space="preserve">(8)</w:t>
      </w:r>
      <w:r>
        <w:t xml:space="preserve"> </w:t>
      </w:r>
      <w:r>
        <w:t xml:space="preserve">For a utilization review, return the completed CRP-2, Children's Review Program Notice of Level of Care Payment Authorization, to the child-caring facility or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for the basic needs of the child;</w:t>
      </w:r>
    </w:p>
    <w:p>
      <w:pPr>
        <w:pStyle w:val="kar_paragraph"/>
      </w:pPr>
      <w:r>
        <w:t xml:space="preserve">(b)</w:t>
      </w:r>
      <w:r>
        <w:t xml:space="preserve"> </w:t>
      </w:r>
      <w:r>
        <w:t xml:space="preserve">Provides guidance and nurturing;</w:t>
      </w:r>
    </w:p>
    <w:p>
      <w:pPr>
        <w:pStyle w:val="kar_paragraph"/>
      </w:pPr>
      <w:r>
        <w:t xml:space="preserve">(c)</w:t>
      </w:r>
      <w:r>
        <w:t xml:space="preserve"> </w:t>
      </w:r>
      <w:r>
        <w:t xml:space="preserve">Provides supervision to meet the needs of the child;</w:t>
      </w:r>
    </w:p>
    <w:p>
      <w:pPr>
        <w:pStyle w:val="kar_paragraph"/>
      </w:pPr>
      <w:r>
        <w:t xml:space="preserve">(d)</w:t>
      </w:r>
      <w:r>
        <w:t xml:space="preserve"> </w:t>
      </w:r>
      <w:r>
        <w:t xml:space="preserve">Provides educational support;</w:t>
      </w:r>
    </w:p>
    <w:p>
      <w:pPr>
        <w:pStyle w:val="kar_paragraph"/>
      </w:pPr>
      <w:r>
        <w:t xml:space="preserve">(e)</w:t>
      </w:r>
      <w:r>
        <w:t xml:space="preserve"> </w:t>
      </w:r>
      <w:r>
        <w:t xml:space="preserve">Provides access to routine medical care; and</w:t>
      </w:r>
    </w:p>
    <w:p>
      <w:pPr>
        <w:pStyle w:val="kar_paragraph"/>
      </w:pPr>
      <w:r>
        <w:t xml:space="preserve">(f)</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t xml:space="preserve">Requires a routine home environment that meets the requirements of subsection (1) of this section;</w:t>
      </w:r>
    </w:p>
    <w:p>
      <w:pPr>
        <w:pStyle w:val="kar_paragraph"/>
      </w:pPr>
      <w:r>
        <w:t xml:space="preserve">(b)</w:t>
      </w:r>
      <w:r>
        <w:t xml:space="preserve"> </w:t>
      </w:r>
      <w:r>
        <w:t xml:space="preserve">Has identified treatment needs based on available behavioral health screening and assessment information or current treatment recommendations;</w:t>
      </w:r>
    </w:p>
    <w:p>
      <w:pPr>
        <w:pStyle w:val="kar_paragraph"/>
      </w:pPr>
      <w:r>
        <w:t xml:space="preserve">(c)</w:t>
      </w:r>
      <w:r>
        <w:t xml:space="preserve"> </w:t>
      </w:r>
      <w:r>
        <w:t xml:space="preserve">Has a history of complex trauma related to maltreatment;</w:t>
      </w:r>
    </w:p>
    <w:p>
      <w:pPr>
        <w:pStyle w:val="kar_paragraph"/>
      </w:pPr>
      <w:r>
        <w:t xml:space="preserve">(d)</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physical and behavioral health and wellbeing;</w:t>
      </w:r>
    </w:p>
    <w:p>
      <w:pPr>
        <w:pStyle w:val="kar_paragraph"/>
      </w:pPr>
      <w:r>
        <w:t xml:space="preserve">(e)</w:t>
      </w:r>
      <w:r>
        <w:t xml:space="preserve"> </w:t>
      </w:r>
      <w:r>
        <w:t xml:space="preserve">May occasionally require intense levels of intervention to maintain the least restrictive environment; and</w:t>
      </w:r>
    </w:p>
    <w:p>
      <w:pPr>
        <w:pStyle w:val="kar_paragraph"/>
      </w:pPr>
      <w:r>
        <w:t xml:space="preserve">(f)</w:t>
      </w:r>
      <w:r>
        <w:t xml:space="preserve"> </w:t>
      </w:r>
      <w:r>
        <w:t xml:space="preserve">Requires a program flexible enough to allow increased:</w:t>
      </w:r>
    </w:p>
    <w:p>
      <w:pPr>
        <w:pStyle w:val="kar_subparagraph"/>
      </w:pPr>
      <w:r>
        <w:t xml:space="preserve">1.</w:t>
      </w:r>
      <w:r>
        <w:t xml:space="preserve"> </w:t>
      </w:r>
      <w:r>
        <w:t xml:space="preserve">Independence if the child is capable; or</w:t>
      </w:r>
    </w:p>
    <w:p>
      <w:pPr>
        <w:pStyle w:val="kar_subparagraph"/>
      </w:pPr>
      <w:r>
        <w:t xml:space="preserve">2.</w:t>
      </w:r>
      <w:r>
        <w:t xml:space="preserve"> </w:t>
      </w:r>
      <w:r>
        <w:t xml:space="preserve">Structure during temporary periods of regression.</w:t>
      </w:r>
    </w:p>
    <w:p>
      <w:pPr>
        <w:pStyle w:val="kar_subsection"/>
      </w:pPr>
      <w:r>
        <w:t xml:space="preserve">(3)</w:t>
      </w:r>
      <w:r>
        <w:t xml:space="preserve"> </w:t>
      </w:r>
      <w:r>
        <w:t xml:space="preserve">A Level III child shall be a child who:</w:t>
      </w:r>
    </w:p>
    <w:p>
      <w:pPr>
        <w:pStyle w:val="kar_paragraph"/>
      </w:pPr>
      <w:r>
        <w:t xml:space="preserve">(a)</w:t>
      </w:r>
      <w:r>
        <w:t xml:space="preserve"> </w:t>
      </w:r>
      <w:r>
        <w:t xml:space="preserve">Has significant treatment needs as indicated by:</w:t>
      </w:r>
    </w:p>
    <w:p>
      <w:pPr>
        <w:pStyle w:val="kar_subparagraph"/>
      </w:pPr>
      <w:r>
        <w:t xml:space="preserve">1.</w:t>
      </w:r>
      <w:r>
        <w:t xml:space="preserve"> </w:t>
      </w:r>
      <w:r>
        <w:t xml:space="preserve">Available behavioral health screening and assessment information or current treatment recommendations that require specialized or frequent treatment services;</w:t>
      </w:r>
    </w:p>
    <w:p>
      <w:pPr>
        <w:pStyle w:val="kar_subparagraph"/>
      </w:pPr>
      <w:r>
        <w:t xml:space="preserve">2.</w:t>
      </w:r>
      <w:r>
        <w:t xml:space="preserve"> </w:t>
      </w:r>
      <w:r>
        <w:t xml:space="preserve">A determination by designated cabinet staff that the child has a high degree of medical complexity that requires specialized medical care;</w:t>
      </w:r>
    </w:p>
    <w:p>
      <w:pPr>
        <w:pStyle w:val="kar_subparagraph"/>
      </w:pPr>
      <w:r>
        <w:t xml:space="preserve">3.</w:t>
      </w:r>
      <w:r>
        <w:t xml:space="preserve"> </w:t>
      </w:r>
      <w:r>
        <w:t xml:space="preserve">The presence of both significant behavioral health needs requiring treatment and a determination of medical complexity by designated cabinet staff; or</w:t>
      </w:r>
    </w:p>
    <w:p>
      <w:pPr>
        <w:pStyle w:val="kar_subparagraph"/>
      </w:pPr>
      <w:r>
        <w:t xml:space="preserve">4.</w:t>
      </w:r>
      <w:r>
        <w:t xml:space="preserve"> </w:t>
      </w:r>
      <w:r>
        <w:t xml:space="preserve">A severe impairment or disability that requires a caregiver to attend to all care needs of the child; and</w:t>
      </w:r>
    </w:p>
    <w:p>
      <w:pPr>
        <w:pStyle w:val="kar_paragraph"/>
      </w:pPr>
      <w:r>
        <w:t xml:space="preserve">(b)</w:t>
      </w:r>
      <w:r>
        <w:t xml:space="preserve"> </w:t>
      </w:r>
      <w:r>
        <w:t xml:space="preserve">Requires a highly structured supportive setting:</w:t>
      </w:r>
    </w:p>
    <w:p>
      <w:pPr>
        <w:pStyle w:val="kar_subparagraph"/>
      </w:pPr>
      <w:r>
        <w:t xml:space="preserve">1.</w:t>
      </w:r>
      <w:r>
        <w:t xml:space="preserve"> </w:t>
      </w:r>
      <w:r>
        <w:t xml:space="preserve">With frequent therapy or therapeutic services provided by a qualified mental health professional or other treatment professional allowed pursuant to 922 KAR 1:300 within a treatment program designed to improve social, emotional, and educational adaptive behavior;</w:t>
      </w:r>
    </w:p>
    <w:p>
      <w:pPr>
        <w:pStyle w:val="kar_subparagraph"/>
      </w:pPr>
      <w:r>
        <w:t xml:space="preserve">2.</w:t>
      </w:r>
      <w:r>
        <w:t xml:space="preserve"> </w:t>
      </w:r>
      <w:r>
        <w:t xml:space="preserve">That includes twenty-four (24) hour supervision; or</w:t>
      </w:r>
    </w:p>
    <w:p>
      <w:pPr>
        <w:pStyle w:val="kar_subparagraph"/>
      </w:pPr>
      <w:r>
        <w:t xml:space="preserve">3.</w:t>
      </w:r>
      <w:r>
        <w:t xml:space="preserve"> </w:t>
      </w:r>
      <w:r>
        <w:t xml:space="preserve">That provides safe and effective care for a severe, chronic medical condition, behavioral health issue, or other highly specialized needs.</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w:t>
      </w:r>
    </w:p>
    <w:p>
      <w:pPr>
        <w:pStyle w:val="kar_paragraph"/>
      </w:pPr>
      <w:r>
        <w:t xml:space="preserve">(b)</w:t>
      </w:r>
      <w:r>
        <w:t xml:space="preserve"> </w:t>
      </w:r>
      <w:r>
        <w:t xml:space="preserve">Each private child-caring facility and child-placing agency shall report to the cabinet annually, on the DPP-888,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eighty (80)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less restrictive or permanent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that cares for children in the custody of the cabinet shall be licensed pursuant to 922 KAR 1:305 and shall meet the standards for child-caring facilities established in 922 KAR 1:300.</w:t>
      </w:r>
    </w:p>
    <w:p>
      <w:pPr>
        <w:pStyle w:val="kar_subsection"/>
      </w:pPr>
      <w:r>
        <w:t xml:space="preserve">(2)</w:t>
      </w:r>
      <w:r>
        <w:t xml:space="preserve"> </w:t>
      </w:r>
      <w:r>
        <w:t xml:space="preserve">The facility shall comply with 922 KAR 1:300, Section 8, Residential Treatment Program, if providing treatment-oriented services.</w:t>
      </w:r>
    </w:p>
    <w:p>
      <w:pPr>
        <w:pStyle w:val="kar_subsection"/>
      </w:pPr>
      <w:r>
        <w:t xml:space="preserve">(3)</w:t>
      </w:r>
      <w:r>
        <w:t xml:space="preserve"> </w:t>
      </w:r>
      <w:r>
        <w:t xml:space="preserve">Only a child assigned as Level III shall be placed in residential care.</w:t>
      </w:r>
    </w:p>
    <w:p>
      <w:pPr>
        <w:pStyle w:val="kar_subsection"/>
      </w:pPr>
      <w:r>
        <w:t xml:space="preserve">(4)</w:t>
      </w:r>
      <w:r>
        <w:t xml:space="preserve"> </w:t>
      </w:r>
      <w:r>
        <w:t xml:space="preserve">The daily rate for residential care to a child-caring facility shall be:</w:t>
      </w:r>
    </w:p>
    <w:p>
      <w:pPr>
        <w:pStyle w:val="kar_paragraph"/>
      </w:pPr>
      <w:r>
        <w:t xml:space="preserve">(a)</w:t>
      </w:r>
      <w:r>
        <w:t xml:space="preserve"> </w:t>
      </w:r>
      <w:r>
        <w:t xml:space="preserve">$193.50 per child for a child-caring facility determined by designated cabinet staff to not meet the requirements of a specified setting for placement in accordance with 42 U.S.C. 672(k)(2); and</w:t>
      </w:r>
    </w:p>
    <w:p>
      <w:pPr>
        <w:pStyle w:val="kar_paragraph"/>
      </w:pPr>
      <w:r>
        <w:t xml:space="preserve">(b)</w:t>
      </w:r>
      <w:r>
        <w:t xml:space="preserve"> </w:t>
      </w:r>
      <w:r>
        <w:t xml:space="preserve">$336.00 per child for a child-caring facility determined by designated cabinet staff to meet the requirements of a specified setting for placement in accordance with 42 U.S.C. 672(k)(2).</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t xml:space="preserve">$220.59 per child per day for a child-caring facility with a treatment license; or</w:t>
      </w:r>
    </w:p>
    <w:p>
      <w:pPr>
        <w:pStyle w:val="kar_paragraph"/>
      </w:pPr>
      <w:r>
        <w:t xml:space="preserve">(b)</w:t>
      </w:r>
      <w:r>
        <w:t xml:space="preserve"> </w:t>
      </w:r>
      <w:r>
        <w:t xml:space="preserve">$165.44 per child per day for a child-caring facility without a treatment license.</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 adhere to the child's individual treatment plan.</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 xml:space="preserve">The daily rate for foster care shall be $51.33 per child for:</w:t>
      </w:r>
    </w:p>
    <w:p>
      <w:pPr>
        <w:pStyle w:val="kar_paragraph"/>
      </w:pPr>
      <w:r>
        <w:t xml:space="preserve">(a)</w:t>
      </w:r>
      <w:r>
        <w:t xml:space="preserve"> </w:t>
      </w:r>
      <w:r>
        <w:t xml:space="preserve">A child under the age of four (4) who has not been assigned a level; and</w:t>
      </w:r>
    </w:p>
    <w:p>
      <w:pPr>
        <w:pStyle w:val="kar_paragraph"/>
      </w:pPr>
      <w:r>
        <w:t xml:space="preserve">(b)</w:t>
      </w:r>
      <w:r>
        <w:t xml:space="preserve"> </w:t>
      </w:r>
      <w:r>
        <w:t xml:space="preserve">A child over the age of four (4) with a level I assigned level of care.</w:t>
      </w:r>
    </w:p>
    <w:p>
      <w:pPr>
        <w:pStyle w:val="kar_subsection"/>
      </w:pPr>
      <w:r>
        <w:t xml:space="preserve">(2)</w:t>
      </w:r>
      <w:r>
        <w:t xml:space="preserve"> </w:t>
      </w:r>
      <w:r>
        <w:t xml:space="preserve">The daily rates for therapeutic or treatment foster care shall be:</w:t>
      </w:r>
    </w:p>
    <w:p>
      <w:pPr>
        <w:pStyle w:val="kar_paragraph"/>
      </w:pPr>
      <w:r>
        <w:t xml:space="preserve">(a)</w:t>
      </w:r>
      <w:r>
        <w:t xml:space="preserve"> </w:t>
      </w:r>
      <w:r>
        <w:t xml:space="preserve">Level II - $108.55 per child; and</w:t>
      </w:r>
    </w:p>
    <w:p>
      <w:pPr>
        <w:pStyle w:val="kar_paragraph"/>
      </w:pPr>
      <w:r>
        <w:t xml:space="preserve">(b)</w:t>
      </w:r>
      <w:r>
        <w:t xml:space="preserve"> </w:t>
      </w:r>
      <w:r>
        <w:t xml:space="preserve">Level III - $156.34 per child.</w:t>
      </w:r>
    </w:p>
    <w:p>
      <w:pPr>
        <w:pStyle w:val="kar_subsection"/>
      </w:pPr>
      <w:r>
        <w:t xml:space="preserve">(3)</w:t>
      </w:r>
      <w:r>
        <w:t xml:space="preserve"> </w:t>
      </w:r>
      <w:r>
        <w:t xml:space="preserve">A private agency foster home shall not receive a per diem that is less than the corresponding public foster home per diem published at https://www.chfs.ky.gov/agencies/dcbs/dpp/Documents/stateagencyfostercareperdiemrates.pdf.</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t xml:space="preserve">Independent Living Programs.</w:t>
      </w:r>
    </w:p>
    <w:p>
      <w:pPr>
        <w:pStyle w:val="kar_subsection"/>
      </w:pPr>
      <w:r>
        <w:t xml:space="preserve">(1)</w:t>
      </w:r>
      <w:r>
        <w:t xml:space="preserve"> </w:t>
      </w:r>
      <w:r>
        <w:t xml:space="preserve">An independent living program shall be licensed pursuant to 922 KAR 1:305 and shall meet the standards for independent living programs established in 922 KAR 1:310 and 922 KAR 1:340.</w:t>
      </w:r>
    </w:p>
    <w:p>
      <w:pPr>
        <w:pStyle w:val="kar_subsection"/>
      </w:pPr>
      <w:r>
        <w:t xml:space="preserve">(2)</w:t>
      </w:r>
      <w:r>
        <w:t xml:space="preserve"> </w:t>
      </w:r>
      <w:r>
        <w:t xml:space="preserve">The daily rate for an independent living program shall be:</w:t>
      </w:r>
    </w:p>
    <w:p>
      <w:pPr>
        <w:pStyle w:val="kar_paragraph"/>
      </w:pPr>
      <w:r>
        <w:t xml:space="preserve">(a)</w:t>
      </w:r>
      <w:r>
        <w:t xml:space="preserve"> </w:t>
      </w:r>
      <w:r>
        <w:t xml:space="preserve">$99.50 per child for Level I or Level II; and</w:t>
      </w:r>
    </w:p>
    <w:p>
      <w:pPr>
        <w:pStyle w:val="kar_paragraph"/>
      </w:pPr>
      <w:r>
        <w:t xml:space="preserve">(b)</w:t>
      </w:r>
      <w:r>
        <w:t xml:space="preserve"> </w:t>
      </w:r>
      <w:r>
        <w:t xml:space="preserve">$139.96 per child for Level III.</w:t>
      </w:r>
    </w:p>
    <w:p>
      <w:pPr>
        <w:pStyle w:val="kar_subsection"/>
      </w:pPr>
      <w:r>
        <w:t xml:space="preserve">(3)</w:t>
      </w:r>
      <w:r>
        <w:t xml:space="preserve"> </w:t>
      </w:r>
      <w:r>
        <w:t xml:space="preserve">A Level III child in an independent living setting shall require increased structure, supervision, case management, and treatment services.</w:t>
      </w:r>
    </w:p>
    <w:p>
      <w:pPr>
        <w:pStyle w:val="kar_section"/>
      </w:pPr>
      <w:r>
        <w:t xml:space="preserve">Section 11.</w:t>
      </w:r>
      <w:r>
        <w:t xml:space="preserve"> </w:t>
      </w:r>
      <w:r>
        <w:t xml:space="preserve">Programs with Decoupled Rates. A child-caring facility or child-placing agency providing highly specialized behavioral health services may be paid for board and treatment services separately through agreement with the:</w:t>
      </w:r>
    </w:p>
    <w:p>
      <w:pPr>
        <w:pStyle w:val="kar_subsection"/>
      </w:pPr>
      <w:r>
        <w:t xml:space="preserve">(1)</w:t>
      </w:r>
      <w:r>
        <w:t xml:space="preserve"> </w:t>
      </w:r>
      <w:r>
        <w:t xml:space="preserve">Department for the cost of room, board, and watchful oversight; and</w:t>
      </w:r>
    </w:p>
    <w:p>
      <w:pPr>
        <w:pStyle w:val="kar_subsection"/>
      </w:pPr>
      <w:r>
        <w:t xml:space="preserve">(2)</w:t>
      </w:r>
      <w:r>
        <w:t xml:space="preserve"> </w:t>
      </w:r>
      <w:r>
        <w:t xml:space="preserve">Department for Medicaid Services or its designee for behavioral health treatment services.</w:t>
      </w:r>
    </w:p>
    <w:p>
      <w:pPr>
        <w:pStyle w:val="kar_section"/>
      </w:pPr>
      <w:r>
        <w:t xml:space="preserve">Section 12.</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behavioral health needs; and</w:t>
      </w:r>
    </w:p>
    <w:p>
      <w:pPr>
        <w:pStyle w:val="kar_clause"/>
      </w:pPr>
      <w:r>
        <w:t xml:space="preserve">b.</w:t>
      </w:r>
      <w:r>
        <w:t xml:space="preserve"> </w:t>
      </w:r>
      <w:r>
        <w:t xml:space="preserve">Identification and alleviation of related trauma symptoms, disability, or distress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trauma, disability,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in time for the reports to be received by the gatekeeper within thirty (30) days prior to the utilization review due date:</w:t>
      </w:r>
    </w:p>
    <w:p>
      <w:pPr>
        <w:pStyle w:val="kar_subparagraph"/>
      </w:pPr>
      <w:r>
        <w:t xml:space="preserve">1.</w:t>
      </w:r>
      <w:r>
        <w:t xml:space="preserve"> </w:t>
      </w:r>
      <w:r>
        <w:t xml:space="preserve">To the gatekeeper, a Child and Adolescent Needs and Strengths assessment report completed within the past six (6) months or another supplemental tool approved by the gatekeeper; and</w:t>
      </w:r>
    </w:p>
    <w:p>
      <w:pPr>
        <w:pStyle w:val="kar_subparagraph"/>
      </w:pPr>
      <w:r>
        <w:t xml:space="preserve">2.</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t xml:space="preserve">Section 13.</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12(1)(c)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12(1)(c)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14 of this administrative regulation.</w:t>
      </w:r>
    </w:p>
    <w:p>
      <w:pPr>
        <w:pStyle w:val="kar_section"/>
      </w:pPr>
      <w:r>
        <w:t xml:space="preserve">Section 14.</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 xml:space="preserve">CRP-2, Children's Review Program Notice of Level of Care Payment Authorization, for a utilization review;</w:t>
      </w:r>
    </w:p>
    <w:p>
      <w:pPr>
        <w:pStyle w:val="kar_subparagraph"/>
      </w:pPr>
      <w:r>
        <w:t xml:space="preserve">2.</w:t>
      </w:r>
      <w:r>
        <w:t xml:space="preserve"> </w:t>
      </w:r>
      <w:r>
        <w:t xml:space="preserve">CRP-4, Children's Review Program Notice of Level of Care Redetermination;</w:t>
      </w:r>
    </w:p>
    <w:p>
      <w:pPr>
        <w:pStyle w:val="kar_subparagraph"/>
      </w:pPr>
      <w:r>
        <w:t xml:space="preserve">3.</w:t>
      </w:r>
      <w:r>
        <w:t xml:space="preserve"> </w:t>
      </w:r>
      <w:r>
        <w:t xml:space="preserve">CRP-5, Children's Review Program DCBS Foster Care Utilization Review Notice of Level Assignment, for a utilization review; or</w:t>
      </w:r>
    </w:p>
    <w:p>
      <w:pPr>
        <w:pStyle w:val="kar_subparagraph"/>
      </w:pPr>
      <w:r>
        <w:t xml:space="preserve">4.</w:t>
      </w:r>
      <w:r>
        <w:t xml:space="preserve"> </w:t>
      </w:r>
      <w:r>
        <w:t xml:space="preserve">CRP-6, Children's Review Program Notice of Level of Care Payment Authorization 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due date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 if the complete utilization review materials were received on or before the utilization review due date;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due date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16 or 17 of this administrative regulation.</w:t>
      </w:r>
    </w:p>
    <w:p>
      <w:pPr>
        <w:pStyle w:val="kar_section"/>
      </w:pPr>
      <w:r>
        <w:t xml:space="preserve">Section 15.</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t xml:space="preserve">The most recent Child and Adolescent Needs and Strengths assessment report or a comparable assessment of the child; and</w:t>
      </w:r>
    </w:p>
    <w:p>
      <w:pPr>
        <w:pStyle w:val="kar_subparagraph"/>
      </w:pPr>
      <w:r>
        <w:t xml:space="preserve">3.</w:t>
      </w:r>
      <w:r>
        <w:t xml:space="preserve"> </w:t>
      </w:r>
      <w:r>
        <w:t xml:space="preserve">Documentation to support the level of care assignment, such as the level of care packet or discharge summary.</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14 of this administrative regulation.</w:t>
      </w:r>
    </w:p>
    <w:p>
      <w:pPr>
        <w:pStyle w:val="kar_section"/>
      </w:pPr>
      <w:r>
        <w:t xml:space="preserve">Section 16.</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17 of this administrative regulation.</w:t>
      </w:r>
    </w:p>
    <w:p>
      <w:pPr>
        <w:pStyle w:val="kar_section"/>
      </w:pPr>
      <w:r>
        <w:t xml:space="preserve">Section 17.</w:t>
      </w:r>
      <w:r>
        <w:t xml:space="preserve"> </w:t>
      </w:r>
      <w:r>
        <w:t xml:space="preserve">Administrative Hearing Process. A child-caring facility or child-placing agency may request an administrative hearing in accordance with 922 KAR 1:320.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"CRP-2, Children's Review Program Notice of Level of Care Payment Authorization", 01/22;</w:t>
      </w:r>
    </w:p>
    <w:p>
      <w:pPr>
        <w:pStyle w:val="kar_paragraph"/>
      </w:pPr>
      <w:r>
        <w:t xml:space="preserve">(b)</w:t>
      </w:r>
      <w:r>
        <w:t xml:space="preserve"> </w:t>
      </w:r>
      <w:r>
        <w:t xml:space="preserve">"CRP-4, Children's Review Program Notice of Level of Care Redetermination", 01/22;</w:t>
      </w:r>
    </w:p>
    <w:p>
      <w:pPr>
        <w:pStyle w:val="kar_paragraph"/>
      </w:pPr>
      <w:r>
        <w:t xml:space="preserve">(c)</w:t>
      </w:r>
      <w:r>
        <w:t xml:space="preserve"> </w:t>
      </w:r>
      <w:r>
        <w:t xml:space="preserve">"CRP-5, Children's Review Program DCBS Foster Care Utilization Review Notice of Level Assignment", 01/22;</w:t>
      </w:r>
    </w:p>
    <w:p>
      <w:pPr>
        <w:pStyle w:val="kar_paragraph"/>
      </w:pPr>
      <w:r>
        <w:t xml:space="preserve">(d)</w:t>
      </w:r>
      <w:r>
        <w:t xml:space="preserve"> </w:t>
      </w:r>
      <w:r>
        <w:t xml:space="preserve">"CRP-6, Children's Review Program Notice of Level of Care Payment Authorization Assignment", 01/22;</w:t>
      </w:r>
    </w:p>
    <w:p>
      <w:pPr>
        <w:pStyle w:val="kar_paragraph"/>
      </w:pPr>
      <w:r>
        <w:t xml:space="preserve">(e)</w:t>
      </w:r>
      <w:r>
        <w:t xml:space="preserve"> </w:t>
      </w:r>
      <w:r>
        <w:t xml:space="preserve">"CRP-7, Children's Review Program Application for Level of Care Payment (ALP)", 07/22;</w:t>
      </w:r>
    </w:p>
    <w:p>
      <w:pPr>
        <w:pStyle w:val="kar_paragraph"/>
      </w:pPr>
      <w:r>
        <w:t xml:space="preserve">(f)</w:t>
      </w:r>
      <w:r>
        <w:t xml:space="preserve"> </w:t>
      </w:r>
      <w:r>
        <w:t xml:space="preserve">"DPP-114, Child Caring and Child Placing Level of Care Schedule", 04/25; and</w:t>
      </w:r>
    </w:p>
    <w:p>
      <w:pPr>
        <w:pStyle w:val="kar_paragraph"/>
      </w:pPr>
      <w:r>
        <w:t xml:space="preserve">(g)</w:t>
      </w:r>
      <w:r>
        <w:t xml:space="preserve"> </w:t>
      </w:r>
      <w:r>
        <w:t xml:space="preserve">"DPP-888, Instructions for Completing the Annual Cost Report and Time Study for Child Caring and Child Placing Programs and Facilities", 09/23.</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(922 KAR 001:360. 23 Ky.R. 1484; Am. 1952; eff. 10-16-1996; 24 Ky.R. 2477; 25 Ky.R. 105; eff. 6-11-1998; Recodified from 905 KAR 1:360, 10-30-1998; 27 Ky.R. 1359; 1817; eff. 1-15-2001; 28 Ky.R. 2469; 29 Ky.R. 471; 725; eff. 8-21-2002; TAm eff. 10-27-2004; 31 Ky.R. 882; 1309; eff. 2-22-2005; TAm eff. 1-27-2006; 34 Ky.R. 481; 1067; 1500; eff. 12-17-2007; 35 Ky.R. 446; 845; eff. 10-15-2008; 41 Ky.R. 650; 1402; 1660; eff. 2-5-2015; 43 Ky.R. 826; eff. 2-3-2017; TAm eff. 5-4-2017; 45 Ky.R. 853, 1696, 2106; eff. 1-23-2019; 48 Ky.R. 2306, 3014; eff. 7-20-2022; 49 Ky.R. 2411, 50 Ky.R. 844; eff. 1-11-2024; 51 Ky.R. 1946; eff. 6-25-2025.)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35048661be4a23" /><Relationship Type="http://schemas.openxmlformats.org/officeDocument/2006/relationships/settings" Target="/word/settings.xml" Id="R2ebec680dcff4ed3" /></Relationships>
</file>