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24692a84c348c4"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158.162,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 or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w:t>
      </w:r>
      <w:r>
        <w:rPr>
          <w:u w:val="single"/>
        </w:rPr>
        <w:t xml:space="preserve">MS-01</w:t>
      </w:r>
      <w:r>
        <w:t>[</w:t>
      </w:r>
      <w:r>
        <w:rPr>
          <w:strike w:val="true"/>
        </w:rPr>
        <w:t xml:space="preserve">PPE01, with PPE02 being optional for the health care provider</w:t>
      </w:r>
      <w:r>
        <w:t>]</w:t>
      </w:r>
      <w:r>
        <w:t xml:space="preserve">;</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5/2025</w:t>
      </w:r>
      <w:r>
        <w:t>[</w:t>
      </w:r>
      <w:r>
        <w:rPr>
          <w:strike w:val="true"/>
        </w:rPr>
        <w:t xml:space="preserve">7/2021</w:t>
      </w:r>
      <w:r>
        <w:t>]</w:t>
      </w:r>
      <w:r>
        <w:t xml:space="preserve">;</w:t>
      </w:r>
    </w:p>
    <w:p>
      <w:pPr>
        <w:pStyle w:val="kar_paragraph"/>
      </w:pPr>
      <w:r>
        <w:t xml:space="preserve">(b)</w:t>
      </w:r>
      <w:r>
        <w:t xml:space="preserve"> </w:t>
      </w:r>
      <w:r>
        <w:t xml:space="preserve">"KHSAA Bylaws", </w:t>
      </w:r>
      <w:r>
        <w:rPr>
          <w:u w:val="single"/>
        </w:rPr>
        <w:t xml:space="preserve">5/2025</w:t>
      </w:r>
      <w:r>
        <w:t>[</w:t>
      </w:r>
      <w:r>
        <w:rPr>
          <w:strike w:val="true"/>
        </w:rPr>
        <w:t xml:space="preserve">7/2023</w:t>
      </w:r>
      <w:r>
        <w:t>]</w:t>
      </w:r>
      <w:r>
        <w:t xml:space="preserve">;</w:t>
      </w:r>
    </w:p>
    <w:p>
      <w:pPr>
        <w:pStyle w:val="kar_paragraph"/>
      </w:pPr>
      <w:r>
        <w:t xml:space="preserve">(c)</w:t>
      </w:r>
      <w:r>
        <w:t xml:space="preserve"> </w:t>
      </w:r>
      <w:r>
        <w:t xml:space="preserve">"KHSAA Due Process Procedure", </w:t>
      </w:r>
      <w:r>
        <w:rPr>
          <w:u w:val="single"/>
        </w:rPr>
        <w:t xml:space="preserve">5/2025</w:t>
      </w:r>
      <w:r>
        <w:t>[</w:t>
      </w:r>
      <w:r>
        <w:rPr>
          <w:strike w:val="true"/>
        </w:rPr>
        <w:t xml:space="preserve">7/2023</w:t>
      </w:r>
      <w:r>
        <w:t>]</w:t>
      </w:r>
      <w:r>
        <w:t xml:space="preserve">;</w:t>
      </w:r>
    </w:p>
    <w:p>
      <w:pPr>
        <w:pStyle w:val="kar_paragraph"/>
      </w:pPr>
      <w:r>
        <w:t xml:space="preserve">(d)</w:t>
      </w:r>
      <w:r>
        <w:t xml:space="preserve"> </w:t>
      </w:r>
      <w:r>
        <w:t xml:space="preserve">"KHSAA Board of Control Adopted Policies", </w:t>
      </w:r>
      <w:r>
        <w:rPr>
          <w:u w:val="single"/>
        </w:rPr>
        <w:t xml:space="preserve">5/2025</w:t>
      </w:r>
      <w:r>
        <w:t>[</w:t>
      </w:r>
      <w:r>
        <w:rPr>
          <w:strike w:val="true"/>
        </w:rPr>
        <w:t xml:space="preserve">9/2023</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5/2025</w:t>
      </w:r>
      <w:r>
        <w:t>[</w:t>
      </w:r>
      <w:r>
        <w:rPr>
          <w:strike w:val="true"/>
        </w:rPr>
        <w:t xml:space="preserve">5/2023</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5/2025</w:t>
      </w:r>
      <w:r>
        <w:t>[</w:t>
      </w:r>
      <w:r>
        <w:rPr>
          <w:strike w:val="true"/>
        </w:rPr>
        <w:t xml:space="preserve">7/2023</w:t>
      </w:r>
      <w:r>
        <w:t>]</w:t>
      </w:r>
      <w:r>
        <w:t xml:space="preserve">;</w:t>
      </w:r>
    </w:p>
    <w:p>
      <w:pPr>
        <w:pStyle w:val="kar_paragraph"/>
      </w:pPr>
      <w:r>
        <w:t xml:space="preserve">(j)</w:t>
      </w:r>
      <w:r>
        <w:t xml:space="preserve"> </w:t>
      </w:r>
      <w:r>
        <w:t xml:space="preserve">KHSAA Form DP07, "Application for Athletic Eligibility for Non-Domestic Students", </w:t>
      </w:r>
      <w:r>
        <w:rPr>
          <w:u w:val="single"/>
        </w:rPr>
        <w:t xml:space="preserve">5/2025</w:t>
      </w:r>
      <w:r>
        <w:t>[</w:t>
      </w:r>
      <w:r>
        <w:rPr>
          <w:strike w:val="true"/>
        </w:rPr>
        <w:t xml:space="preserve">07/2023</w:t>
      </w:r>
      <w:r>
        <w:t>]</w:t>
      </w:r>
      <w:r>
        <w:t xml:space="preserve">;</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w:t>
      </w:r>
      <w:r>
        <w:rPr>
          <w:u w:val="single"/>
        </w:rPr>
        <w:t xml:space="preserve">5/2025</w:t>
      </w:r>
      <w:r>
        <w:t>[</w:t>
      </w:r>
      <w:r>
        <w:rPr>
          <w:strike w:val="true"/>
        </w:rPr>
        <w:t xml:space="preserve">7/2020</w:t>
      </w:r>
      <w:r>
        <w:t>]</w:t>
      </w:r>
      <w:r>
        <w:t xml:space="preserve">; </w:t>
      </w:r>
      <w:r>
        <w:t>[</w:t>
      </w:r>
      <w:r>
        <w:rPr>
          <w:strike w:val="true"/>
        </w:rPr>
        <w:t xml:space="preserve">and</w:t>
      </w:r>
      <w:r>
        <w:t>]</w:t>
      </w:r>
    </w:p>
    <w:p>
      <w:pPr>
        <w:pStyle w:val="kar_paragraph"/>
      </w:pPr>
      <w:r>
        <w:t xml:space="preserve">(o)</w:t>
      </w:r>
      <w:r>
        <w:t xml:space="preserve"> </w:t>
      </w:r>
      <w:r>
        <w:t xml:space="preserve">"KHSAA Form GE19-Title IX Procedures Verification", 5/2011;</w:t>
      </w:r>
    </w:p>
    <w:p>
      <w:pPr>
        <w:pStyle w:val="kar_paragraph"/>
      </w:pPr>
      <w:r>
        <w:t xml:space="preserve">(p)</w:t>
      </w:r>
      <w:r>
        <w:t xml:space="preserve"> </w:t>
      </w:r>
      <w:r>
        <w:t xml:space="preserve">KHSAA Form </w:t>
      </w:r>
      <w:r>
        <w:rPr>
          <w:u w:val="single"/>
        </w:rPr>
        <w:t xml:space="preserve">GE110, "Wet Bulb Globe</w:t>
      </w:r>
      <w:r>
        <w:t>[</w:t>
      </w:r>
      <w:r>
        <w:rPr>
          <w:strike w:val="true"/>
        </w:rPr>
        <w:t xml:space="preserve">GE20, "Heat Index</w:t>
      </w:r>
      <w:r>
        <w:t>]</w:t>
      </w:r>
      <w:r>
        <w:t xml:space="preserve"> Measurement and Record", </w:t>
      </w:r>
      <w:r>
        <w:rPr>
          <w:u w:val="single"/>
        </w:rPr>
        <w:t xml:space="preserve">6/2023; and</w:t>
      </w:r>
      <w:r>
        <w:t>[</w:t>
      </w:r>
      <w:r>
        <w:rPr>
          <w:strike w:val="true"/>
        </w:rPr>
        <w:t xml:space="preserve">4/2014</w:t>
      </w:r>
      <w:r>
        <w:t>]</w:t>
      </w:r>
      <w:r>
        <w:t xml:space="preserve">.</w:t>
      </w:r>
    </w:p>
    <w:p>
      <w:pPr>
        <w:pStyle w:val="kar_paragraph"/>
      </w:pPr>
      <w:r>
        <w:rPr>
          <w:u w:val="single"/>
        </w:rPr>
        <w:t xml:space="preserve">(q)</w:t>
      </w:r>
      <w:r>
        <w:t xml:space="preserve"> </w:t>
      </w:r>
      <w:r>
        <w:rPr>
          <w:u w:val="single"/>
        </w:rPr>
        <w:t xml:space="preserve">"KHSAA Form MS01- Athletic Participation Parental and Student Consent and Release for Middle School (grades 5-8) Participation", 5/2025.</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DR. ROBBIE FLETCHER, Commissioner</w:t>
      </w:r>
    </w:p>
    <w:p>
      <w:pPr>
        <w:pStyle w:val="kar_signature"/>
      </w:pPr>
      <w:r>
        <w:t xml:space="preserve">SHARON PORTER ROBINSON, Chairperson</w:t>
      </w:r>
    </w:p>
    <w:p>
      <w:pPr>
        <w:pStyle w:val="kar_normal"/>
      </w:pPr>
      <w:r>
        <w:t xml:space="preserve"/>
      </w:r>
    </w:p>
    <w:p>
      <w:pPr>
        <w:pStyle w:val="kar_approved_by"/>
      </w:pPr>
      <w:r>
        <w:t xml:space="preserve">APPROVED BY AGENCY: June 10, 2025</w:t>
      </w:r>
    </w:p>
    <w:p>
      <w:pPr>
        <w:pStyle w:val="kar_filed"/>
      </w:pPr>
      <w:r>
        <w:t xml:space="preserve">FILED WITH LRC: June 11, 2025 at 3:39 p.m.</w:t>
      </w:r>
    </w:p>
    <w:p>
      <w:pPr>
        <w:pStyle w:val="kar_normal"/>
      </w:pPr>
      <w:r>
        <w:t xml:space="preserve"/>
      </w:r>
    </w:p>
    <w:p>
      <w:pPr>
        <w:pStyle w:val="kar_comment_period"/>
      </w:pPr>
      <w:r>
        <w:t xml:space="preserve">PUBLIC HEARING AND PUBLIC COMMENT PERIOD: A public hearing on this proposed administrative regulation shall be held on August 27, 2025, at 10am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Finally,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School Districts; students participating in interscholastic athletics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There will be minimal impact because of the nature of the changes to the regulation. There are requirements that continue to be placed on schools and coaching personnel, However, the training required to meet these requirements will be provided at no costs to the schools, administrators, or the coaching personnel resulting in a safer and more complete education-based athletic experience for the Commonwealth’s student-athletes.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KRS 160.380; and KRS 160.445.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 (2) authorizes the promulgation of administrative regulations to implement the provisions of this statute.</w:t>
      </w:r>
    </w:p>
    <w:p>
      <w:pPr>
        <w:pStyle w:val="kar_normal"/>
        <w:ind w:left="288"/>
      </w:pPr>
      <w:r>
        <w:t xml:space="preserve">(3)(a) Identify the promulgating agency and any other affected state units, parts, or divisions:</w:t>
      </w:r>
    </w:p>
    <w:p>
      <w:pPr>
        <w:pStyle w:val="kar_normal"/>
        <w:ind w:left="432"/>
      </w:pPr>
      <w:r>
        <w:t xml:space="preserve">School districts, the Department of Education, and the Kentucky High School Athletic Association.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Minimal</w:t>
      </w:r>
    </w:p>
    <w:p>
      <w:pPr>
        <w:pStyle w:val="kar_normal"/>
        <w:ind w:left="864"/>
      </w:pPr>
      <w:r>
        <w:t xml:space="preserve">For subsequent years:</w:t>
      </w:r>
      <w:r>
        <w:t xml:space="preserve"> Minimal</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Neutral</w:t>
      </w:r>
    </w:p>
    <w:p>
      <w:pPr>
        <w:pStyle w:val="kar_normal"/>
        <w:ind w:left="864"/>
      </w:pPr>
      <w:r>
        <w:t xml:space="preserve">For subsequent years:</w:t>
      </w:r>
      <w:r>
        <w:t xml:space="preserve"> Neutral</w:t>
      </w:r>
    </w:p>
    <w:p>
      <w:pPr>
        <w:pStyle w:val="kar_normal"/>
        <w:ind w:left="288"/>
      </w:pPr>
      <w:r>
        <w:t xml:space="preserve">(4)(a) Identify affected local entities (for example: cities, counties, fire departments, school districts):</w:t>
      </w:r>
    </w:p>
    <w:p>
      <w:pPr>
        <w:pStyle w:val="kar_normal"/>
        <w:ind w:left="432"/>
      </w:pPr>
      <w:r>
        <w:t xml:space="preserve">School Districts with member schools.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Minimal</w:t>
      </w:r>
    </w:p>
    <w:p>
      <w:pPr>
        <w:pStyle w:val="kar_normal"/>
        <w:ind w:left="864"/>
      </w:pPr>
      <w:r>
        <w:t xml:space="preserve">For subsequent years:</w:t>
      </w:r>
      <w:r>
        <w:t xml:space="preserve"> Minimal</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Neutral</w:t>
      </w:r>
    </w:p>
    <w:p>
      <w:pPr>
        <w:pStyle w:val="kar_normal"/>
        <w:ind w:left="864"/>
      </w:pPr>
      <w:r>
        <w:t xml:space="preserve">For subsequent years:</w:t>
      </w:r>
      <w:r>
        <w:t xml:space="preserve"> Neutral</w:t>
      </w:r>
    </w:p>
    <w:p>
      <w:pPr>
        <w:pStyle w:val="kar_normal"/>
        <w:ind w:left="288"/>
      </w:pPr>
      <w:r>
        <w:t xml:space="preserve">(5)(a) Identify any affected regulated entities not listed in (3)(a) or (4)(a):</w:t>
      </w:r>
    </w:p>
    <w:p>
      <w:pPr>
        <w:pStyle w:val="kar_normal"/>
        <w:ind w:left="432"/>
      </w:pPr>
      <w:r>
        <w:t xml:space="preserve">Non-public Schools who are members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Minimal</w:t>
      </w:r>
    </w:p>
    <w:p>
      <w:pPr>
        <w:pStyle w:val="kar_normal"/>
        <w:ind w:left="864"/>
      </w:pPr>
      <w:r>
        <w:t xml:space="preserve">For subsequent years:</w:t>
      </w:r>
      <w:r>
        <w:t xml:space="preserve"> Minimal</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Neutral</w:t>
      </w:r>
    </w:p>
    <w:p>
      <w:pPr>
        <w:pStyle w:val="kar_normal"/>
        <w:ind w:left="864"/>
      </w:pPr>
      <w:r>
        <w:t xml:space="preserve">For subsequent years:</w:t>
      </w:r>
      <w:r>
        <w:t xml:space="preserve"> Neutral</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of this administrative regulation is minimal as the schools (districts) impacted are already expending their resources in this regard. These costs would generally remain in place regardless of this administrative regulation.</w:t>
      </w:r>
    </w:p>
    <w:p>
      <w:pPr>
        <w:pStyle w:val="kar_normal"/>
        <w:ind w:left="288"/>
      </w:pPr>
      <w:r>
        <w:t xml:space="preserve">(b) Methodology and resources used to reach this conclusion:</w:t>
      </w:r>
    </w:p>
    <w:p>
      <w:pPr>
        <w:pStyle w:val="kar_normal"/>
        <w:ind w:left="432"/>
      </w:pPr>
      <w:r>
        <w:t xml:space="preserve">This information is based on a review of current systems and processes to see if any additional expenditures are necessary to carry on these amendments. This review shows little no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impact as defined above.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information is based on a review of current systems and processes to see if any additional expenditures are necessary to carry on these amendments. This review shows this will not have a major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c88d79806f4488" /><Relationship Type="http://schemas.openxmlformats.org/officeDocument/2006/relationships/settings" Target="/word/settings.xml" Id="R10cfdd99d9394d8c" /></Relationships>
</file>