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093873469f477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2025</w:t>
      </w:r>
      <w:r>
        <w:t>[</w:t>
      </w:r>
      <w:r>
        <w:rPr>
          <w:strike w:val="true"/>
        </w:rPr>
        <w:t xml:space="preserve">2023</w:t>
      </w:r>
      <w:r>
        <w:t>]</w:t>
      </w:r>
      <w:r>
        <w:t xml:space="preserve"> Update to the State Health Plan", </w:t>
      </w:r>
      <w:r>
        <w:rPr>
          <w:u w:val="single"/>
        </w:rPr>
        <w:t xml:space="preserve">June 2025</w:t>
      </w:r>
      <w:r>
        <w:t>[</w:t>
      </w:r>
      <w:r>
        <w:rPr>
          <w:strike w:val="true"/>
        </w:rPr>
        <w:t xml:space="preserve">March 2024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signature"/>
      </w:pPr>
      <w:r>
        <w:t xml:space="preserve">TRICIA STEWARD, Acting Inspector General</w:t>
      </w:r>
    </w:p>
    <w:p>
      <w:pPr>
        <w:pStyle w:val="kar_signature"/>
      </w:pPr>
      <w:r>
        <w:t xml:space="preserve">ERIC C. FRIEDLANDER, Secretary</w:t>
      </w:r>
    </w:p>
    <w:p>
      <w:pPr>
        <w:pStyle w:val="kar_normal"/>
      </w:pPr>
      <w:r>
        <w:t xml:space="preserve"/>
      </w:r>
    </w:p>
    <w:p>
      <w:pPr>
        <w:pStyle w:val="kar_approved_by"/>
      </w:pPr>
      <w:r>
        <w:t xml:space="preserve">APPROVED BY AGENCY: June 9, 2025</w:t>
      </w:r>
    </w:p>
    <w:p>
      <w:pPr>
        <w:pStyle w:val="kar_filed"/>
      </w:pPr>
      <w:r>
        <w:t xml:space="preserve">FILED WITH LRC: June 9, 2025 at 2:55 p.m.</w:t>
      </w:r>
    </w:p>
    <w:p>
      <w:pPr>
        <w:pStyle w:val="kar_normal"/>
      </w:pPr>
      <w:r>
        <w:t xml:space="preserve"/>
      </w:r>
    </w:p>
    <w:p>
      <w:pPr>
        <w:pStyle w:val="kar_comment_period"/>
      </w:pPr>
      <w:r>
        <w:t xml:space="preserve">PUBLIC HEARING AND PUBLIC COMMENT PERIOD: A public hearing on this administrative regulation shall, if requested, be held on August 25,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18,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current State Health Plan as defined by KRS 216B.015(28) and as required by KRS 216B.040(2)(a).</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(SHP):Updates the title and edition date of the SHP on page i of the Plan; Updates page numbers on Table of Contents section on page ii; Updates the title of the SHP on page iii of the Plan under the heading “Purpose”;Adds new definition under Section A: Acute Care Hospital for “Pediatric Teaching Hospital”; Adds new language on page 3 to establish criteria for new “acute care hospitals” that are “pediatric teaching hospitals”; Establishes that a “pediatric teaching hospital” shall not be considered a “specialized hospital”; Adds language to permit a Level II PRTF with four (4) Level II Special Care Neonatal beds; Makes changes to Ambulatory Surgical Centers in regards to ownership of Ambulatory Surgical Centers that perform “cornea transplants” and “glaucoma fistulizing surgery”; These changes align with the proposed amendment of 900 KAR 6:075 and 900 KAR 6:075E, Section 2(3)(k)-(l), filed concurrently with this administrative regulation to grant nonsubstantive review status to certificate of need applications for acute care hospitals that wish to convert existing acute care beds to pediatric psychiatric beds at pediatric teaching hospitals as described above.</w:t>
      </w:r>
    </w:p>
    <w:p>
      <w:pPr>
        <w:pStyle w:val="kar_normal"/>
        <w:ind w:left="576"/>
      </w:pPr>
      <w:r>
        <w:t xml:space="preserve">(b) The necessity of the amendment to this administrative regulation:</w:t>
      </w:r>
    </w:p>
    <w:p>
      <w:pPr>
        <w:pStyle w:val="kar_normal"/>
        <w:ind w:left="720"/>
      </w:pPr>
      <w:r>
        <w:t xml:space="preserve">This amendment is needed to expand inpatient pediatric behavioral health services throughout the state, including rural areas, to enhance immediate access to resources for at-risk pediatric mental health patients of such acuity that they need inpatient services and stabilization.</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60 certificate of need applications were submitted to the cabinet in calendar year 2020; 70 certificate of need applications were submitted in calendar year 2021; 81 applications submitted in calendar year 2022; 60 applications submitted in calendar year 2023; and 67 applications submitted in calendar year 2024.</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576"/>
      </w:pPr>
      <w:r>
        <w:t xml:space="preserve">(a) Estimate the following for the first year:</w:t>
      </w:r>
    </w:p>
    <w:p>
      <w:pPr>
        <w:pStyle w:val="kar_normal"/>
        <w:ind w:left="864"/>
      </w:pPr>
      <w:r>
        <w:t xml:space="preserve">Expenditures:</w:t>
      </w:r>
      <w:r>
        <w:t xml:space="preserve"> This amendment will not cause additional expenditures.</w:t>
      </w:r>
    </w:p>
    <w:p>
      <w:pPr>
        <w:pStyle w:val="kar_normal"/>
        <w:ind w:left="864"/>
      </w:pPr>
      <w:r>
        <w:t xml:space="preserve">Revenues:</w:t>
      </w:r>
      <w:r>
        <w:t xml:space="preserve"> This amendment will not generate additional revenue.</w:t>
      </w:r>
    </w:p>
    <w:p>
      <w:pPr>
        <w:pStyle w:val="kar_normal"/>
        <w:ind w:left="864"/>
      </w:pPr>
      <w:r>
        <w:t xml:space="preserve">Cost Savings:</w:t>
      </w:r>
      <w:r>
        <w:t xml:space="preserve"> This amendment will not generate any cost savings.</w:t>
      </w:r>
    </w:p>
    <w:p>
      <w:pPr>
        <w:pStyle w:val="kar_normal"/>
        <w:ind w:left="576"/>
      </w:pPr>
      <w:r>
        <w:t xml:space="preserve">(b) How will expenditures, revenues, or cost savings differ in subsequent years?</w:t>
      </w:r>
    </w:p>
    <w:p>
      <w:pPr>
        <w:pStyle w:val="kar_normal"/>
        <w:ind w:left="720"/>
      </w:pPr>
      <w:r>
        <w:t xml:space="preserve">This amendment will not generate additional expenditures, revenue or cost savings for state or local government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additional effect on local entities.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(4) Identify additional regulated entities not listed in questions (2) or (3):</w:t>
      </w:r>
    </w:p>
    <w:p>
      <w:pPr>
        <w:pStyle w:val="kar_normal"/>
        <w:ind w:left="432"/>
      </w:pPr>
      <w:r>
        <w:t xml:space="preserve">All affected entities are listed in questions (2) and (3).</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are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as a result of the amendment to this regulation.</w:t>
      </w:r>
    </w:p>
    <w:p>
      <w:pPr>
        <w:pStyle w:val="kar_normal"/>
        <w:ind w:left="576"/>
      </w:pPr>
      <w:r>
        <w:t xml:space="preserve">(b) Methodology and resources used to determine the fiscal impact:</w:t>
      </w:r>
    </w:p>
    <w:p>
      <w:pPr>
        <w:pStyle w:val="kar_normal"/>
        <w:ind w:left="720"/>
      </w:pPr>
      <w:r>
        <w:t xml:space="preserve">No money spent; no money gained equals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is not expected to have a major economic impact on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money spent; no money gained equals no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e5b5149bf4c3c" /><Relationship Type="http://schemas.openxmlformats.org/officeDocument/2006/relationships/settings" Target="/word/settings.xml" Id="Re2466763704d4fa5" /></Relationships>
</file>