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478d95aa2a4088" /></Relationships>
</file>

<file path=word/document.xml><?xml version="1.0" encoding="utf-8"?>
<w:document xmlns:w="http://schemas.openxmlformats.org/wordprocessingml/2006/main">
  <w:body>
    <w:p>
      <w:pPr>
        <w:pStyle w:val="kar_citation"/>
      </w:pPr>
      <w:r>
        <w:t>803 KAR 2:181.</w:t>
      </w:r>
      <w:r>
        <w:t xml:space="preserve"> </w:t>
      </w:r>
      <w:r>
        <w:t xml:space="preserve">Recordkeeping and reporting occupational injuries and illnesses.</w:t>
      </w:r>
    </w:p>
    <w:p>
      <w:pPr>
        <w:pStyle w:val="kar_markup_metadata"/>
      </w:pPr>
      <w:r>
        <w:t xml:space="preserve">RELATES TO: </w:t>
      </w:r>
      <w:r>
        <w:t xml:space="preserve">KRS 338.015(1), (2), 338.121(3), 338.161, 29 C.F.R. Part 1904</w:t>
      </w:r>
    </w:p>
    <w:p>
      <w:pPr>
        <w:pStyle w:val="kar_markup_metadata"/>
      </w:pPr>
      <w:r>
        <w:t xml:space="preserve">STATUTORY AUTHORITY: </w:t>
      </w:r>
      <w:r>
        <w:t xml:space="preserve">KRS 338.061, 338.161</w:t>
      </w:r>
    </w:p>
    <w:p>
      <w:pPr>
        <w:pStyle w:val="kar_markup_metadata"/>
      </w:pPr>
      <w:r>
        <w:t xml:space="preserve">NECESSITY, FUNCTION, AND CONFORMITY: </w:t>
      </w:r>
      <w:r>
        <w:t xml:space="preserve">KRS 338.161(1) requires the Department of Workplace Standards to promulgate administrative regulations for the collection, compilation, and analysis of occupational safety and health statistics. 29 C.F.R. Part 1904 authorizes requirements for the recording and reporting of occupational illnesses and injuries. This administrative regulation establishes recordkeeping and reporting requirements for employers pursuant to KRS Chapter 338.</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"Secretary of Labor" means the Secretary of the United States Department of Labor or the Secretary of the Education and Labor Cabinet.</w:t>
      </w:r>
    </w:p>
    <w:p>
      <w:pPr>
        <w:pStyle w:val="kar_subsection"/>
      </w:pPr>
      <w:r>
        <w:t xml:space="preserve">(5)</w:t>
      </w:r>
      <w:r>
        <w:t xml:space="preserve"> </w:t>
      </w:r>
      <w:r>
        <w:t xml:space="preserve">"Section 11(c) of the Act" means KRS 338.121(3).</w:t>
      </w:r>
    </w:p>
    <w:p>
      <w:pPr>
        <w:pStyle w:val="kar_section"/>
      </w:pPr>
      <w:r>
        <w:t xml:space="preserve">Section 2.</w:t>
      </w:r>
      <w:r>
        <w:t xml:space="preserve"> </w:t>
      </w:r>
      <w:r>
        <w:t xml:space="preserve">Except as modified by the definitions in Section 1, an employer shall comply with 29 C.F.R. Part 1904, Recording and Reporting Occupational Injuries and Illnesses, published by the Office of the Federal Register, National Archives and Records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002:181. 47 Ky.R. 2772; eff. 11-30-2021; TAm eff. 11-10-2022; 52 Ky.R. 312; eff. 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8ed7da9484374" /><Relationship Type="http://schemas.openxmlformats.org/officeDocument/2006/relationships/settings" Target="/word/settings.xml" Id="R22867647acd74962" /></Relationships>
</file>