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baf8ae1fa54747"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Department of Revenue</w:t>
      </w:r>
    </w:p>
    <w:p>
      <w:pPr>
        <w:pStyle w:val="kar_markup_header"/>
        <w:ind w:firstLine="0"/>
      </w:pPr>
      <w:r>
        <w:t>(Amendment)</w:t>
      </w:r>
    </w:p>
    <w:p>
      <w:pPr>
        <w:pStyle w:val="kar_citation"/>
      </w:pPr>
      <w:r>
        <w:t>103 KAR 2:005.</w:t>
      </w:r>
      <w:r>
        <w:t xml:space="preserve"> </w:t>
      </w:r>
      <w:r>
        <w:t xml:space="preserve">Life Mortality Table.</w:t>
      </w:r>
    </w:p>
    <w:p>
      <w:pPr>
        <w:pStyle w:val="kar_markup_metadata"/>
      </w:pPr>
      <w:r>
        <w:t xml:space="preserve">RELATES TO: </w:t>
      </w:r>
      <w:r>
        <w:t xml:space="preserve">KRS 140.100</w:t>
      </w:r>
    </w:p>
    <w:p>
      <w:pPr>
        <w:pStyle w:val="kar_markup_metadata"/>
      </w:pPr>
      <w:r>
        <w:t xml:space="preserve">STATUTORY AUTHORITY: </w:t>
      </w:r>
      <w:r>
        <w:t xml:space="preserve">KRS 131.130, 140.100(2)</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KRS 140.100(2) requires the application of the appropriate United States life mortality tables when ascertaining the value of future, contingent, or limited estates, which includes life estates and annuities. This administrative regulation establishes the appropriate United States life mortality table as required by KRS 140.100(2).</w:t>
      </w:r>
    </w:p>
    <w:p>
      <w:pPr>
        <w:pStyle w:val="kar_section"/>
      </w:pPr>
      <w:r>
        <w:t xml:space="preserve">Section 1.</w:t>
      </w:r>
      <w:r>
        <w:t xml:space="preserve"> </w:t>
      </w:r>
      <w:r>
        <w:rPr>
          <w:u w:val="single"/>
        </w:rPr>
        <w:t xml:space="preserve">Table 1, Life Table for the Total Population: United States published by the United States Department of Health and Human Services, National Center for Health Statistics</w:t>
      </w:r>
      <w:r>
        <w:t>[</w:t>
      </w:r>
      <w:r>
        <w:rPr>
          <w:strike w:val="true"/>
        </w:rPr>
        <w:t xml:space="preserve">The mortality table as prescribed in of the Internal Revenue Code, 26 U.S.C. 7520(a)(1)</w:t>
      </w:r>
      <w:r>
        <w:t>]</w:t>
      </w:r>
      <w:r>
        <w:t xml:space="preserve">, shall be utilized when computing the value of a beneficiary's life estate, annuity, remainder interest, or any other interest in the estate which is based on the life expectancy of the beneficiary or some other person. </w:t>
      </w:r>
      <w:r>
        <w:rPr>
          <w:u w:val="single"/>
        </w:rPr>
        <w:t xml:space="preserve">The life mortality table prescribed by National Center for Health Statistics as of January 1 of the year of the decedent's death shall be used.</w:t>
      </w:r>
      <w:r>
        <w:t>[</w:t>
      </w:r>
      <w:r>
        <w:rPr>
          <w:strike w:val="true"/>
        </w:rPr>
        <w:t xml:space="preserve">The mortality table prescribed by the Internal Revenue Service as of January 1 of the year of the decedent's death shall be used.</w:t>
      </w:r>
      <w:r>
        <w:t>]</w:t>
      </w:r>
    </w:p>
    <w:p>
      <w:pPr>
        <w:pStyle w:val="kar_signature"/>
      </w:pPr>
      <w:r>
        <w:t xml:space="preserve">THOMAS B. MILLER, Commissioner</w:t>
      </w:r>
    </w:p>
    <w:p>
      <w:pPr>
        <w:pStyle w:val="kar_normal"/>
      </w:pPr>
      <w:r>
        <w:t xml:space="preserve"/>
      </w:r>
    </w:p>
    <w:p>
      <w:pPr>
        <w:pStyle w:val="kar_approved_by"/>
      </w:pPr>
      <w:r>
        <w:t xml:space="preserve">APPROVED BY AGENCY: July 11, 2025</w:t>
      </w:r>
    </w:p>
    <w:p>
      <w:pPr>
        <w:pStyle w:val="kar_filed"/>
      </w:pPr>
      <w:r>
        <w:t xml:space="preserve">FILED WITH LRC: July 11, 2025 at 10:30 a.m.</w:t>
      </w:r>
    </w:p>
    <w:p>
      <w:pPr>
        <w:pStyle w:val="kar_normal"/>
      </w:pPr>
      <w:r>
        <w:t xml:space="preserve"/>
      </w:r>
    </w:p>
    <w:p>
      <w:pPr>
        <w:pStyle w:val="kar_comment_period"/>
      </w:pPr>
      <w:r>
        <w:t xml:space="preserve">PUBLIC HEARING AND PUBLIC COMMENT PERIOD: A public comment on this administrative regulation shall be held on September 23, 2025, at 10:00 a.m. in Room 11A, State Office Building, 501 High Street, Frankfort, Kentucky 40601. Individuals interested in being heard at this hearing shall notify this agency in writing at least five (5) workdays prior to the hearing, of their intent to attend. If no notification of intent to attend the hearing is received by that date, the hearing may be canceled.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Gary Morris, Executive Director, Office of Tax Policy and Regulation, Department of Revenue, 501 High Street, Station 1, Frankfort, Kentucky 40601, phone (502) 564-0424, fax (502) 564-3875, email DORTAXPOLICY@ky.gov.</w:t>
      </w:r>
    </w:p>
    <w:p>
      <w:pPr>
        <w:pStyle w:val="kar_form_name"/>
      </w:pPr>
      <w:r>
        <w:t xml:space="preserve">REGULATORY IMPACT ANALYSIS AND TIERING STATEMENT</w:t>
      </w:r>
    </w:p>
    <w:p>
      <w:pPr>
        <w:pStyle w:val="kar_normal"/>
        <w:ind w:left="0"/>
      </w:pPr>
      <w:r>
        <w:t xml:space="preserve">Contact Person:</w:t>
      </w:r>
      <w:r>
        <w:t xml:space="preserve"> Gary Morris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amends 103 KAR 2:005 to update the life expectancy table to a more current version and provides for automatic updates to published life expectancy tables.</w:t>
      </w:r>
    </w:p>
    <w:p>
      <w:pPr>
        <w:pStyle w:val="kar_normal"/>
        <w:ind w:left="576"/>
      </w:pPr>
      <w:r>
        <w:t xml:space="preserve">(b) The necessity of this administrative regulation:</w:t>
      </w:r>
    </w:p>
    <w:p>
      <w:pPr>
        <w:pStyle w:val="kar_normal"/>
        <w:ind w:left="720"/>
      </w:pPr>
      <w:r>
        <w:t xml:space="preserve">Amending this administrative regulation allows a m ore current version of the life expectancy table to be used and allows for it to be updated automatically by reference to U.S. Department of Health and Human Services, National Center for Health Statistics’ life expectancy tables.</w:t>
      </w:r>
    </w:p>
    <w:p>
      <w:pPr>
        <w:pStyle w:val="kar_normal"/>
        <w:ind w:left="576"/>
      </w:pPr>
      <w:r>
        <w:t xml:space="preserve">(c) How this administrative regulation conforms to the content of the authorizing statutes:</w:t>
      </w:r>
    </w:p>
    <w:p>
      <w:pPr>
        <w:pStyle w:val="kar_normal"/>
        <w:ind w:left="720"/>
      </w:pPr>
      <w:r>
        <w:t xml:space="preserve">KRS 131.130(1) grants the Department of Revenue the authority to promulgate administrative regulations as it deems necessary for the administration of Kentucky’s tax laws.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See (1)(b).</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1(a).</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 for how the regulation will assist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taxpayer or taxpayer representative that needs to calculate inheritance tax based on future, contingent, and life estates will find appropriate guidance in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actions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these changes.</w:t>
      </w:r>
    </w:p>
    <w:p>
      <w:pPr>
        <w:pStyle w:val="kar_normal"/>
        <w:ind w:left="576"/>
      </w:pPr>
      <w:r>
        <w:t xml:space="preserve">(c) As a result of compliance, what benefits will accrue to the entities identified in question (3):</w:t>
      </w:r>
    </w:p>
    <w:p>
      <w:pPr>
        <w:pStyle w:val="kar_normal"/>
        <w:ind w:left="720"/>
      </w:pPr>
      <w:r>
        <w:t xml:space="preserve">Taxpayers and taxpayer representatives will be able to locate current guidance regarding which life expectancy table to use for Kentucky inheritance tax purposes.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associated with this amendment. Current staff and budgeted funding will absorb any cost associated with implementation.</w:t>
      </w:r>
    </w:p>
    <w:p>
      <w:pPr>
        <w:pStyle w:val="kar_normal"/>
        <w:ind w:left="576"/>
      </w:pPr>
      <w:r>
        <w:t xml:space="preserve">(b) On a continuing basis:</w:t>
      </w:r>
    </w:p>
    <w:p>
      <w:pPr>
        <w:pStyle w:val="kar_normal"/>
        <w:ind w:left="720"/>
      </w:pPr>
      <w:r>
        <w:t xml:space="preserve">The Department of Revenue should not incur additional costs on an ongoing basis due to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budgeted funding for the Department of Revenue will be used to implement and enforce the amendment to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The updating of this administrative regulation will impact all taxpayers subject to inheritance tax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131.130(1), KRS 140.100(2)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N/A</w:t>
      </w:r>
    </w:p>
    <w:p>
      <w:pPr>
        <w:pStyle w:val="kar_normal"/>
        <w:ind w:left="288"/>
      </w:pPr>
      <w:r>
        <w:t xml:space="preserve">(3)(a) Identify the promulgating agency and any other affected state units, parts, or divisions:</w:t>
      </w:r>
    </w:p>
    <w:p>
      <w:pPr>
        <w:pStyle w:val="kar_normal"/>
        <w:ind w:left="432"/>
      </w:pPr>
      <w:r>
        <w:t xml:space="preserve">Department of Revenue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to this administrative regulation will not affect expenditures.</w:t>
      </w:r>
    </w:p>
    <w:p>
      <w:pPr>
        <w:pStyle w:val="kar_normal"/>
        <w:ind w:left="864"/>
      </w:pPr>
      <w:r>
        <w:t xml:space="preserve">For subsequent years:</w:t>
      </w:r>
      <w:r>
        <w:t xml:space="preserve"> The amendment to this administrative regulation will not affect expenditures.</w:t>
      </w:r>
    </w:p>
    <w:p>
      <w:pPr>
        <w:pStyle w:val="kar_normal"/>
        <w:ind w:left="576"/>
      </w:pPr>
      <w:r>
        <w:t xml:space="preserve">2. Revenues:</w:t>
      </w:r>
    </w:p>
    <w:p>
      <w:pPr>
        <w:pStyle w:val="kar_normal"/>
        <w:ind w:left="864"/>
      </w:pPr>
      <w:r>
        <w:t xml:space="preserve">For the first year:</w:t>
      </w:r>
      <w:r>
        <w:t xml:space="preserve"> The amendment to this administrative regulation will not affect revenues.</w:t>
      </w:r>
    </w:p>
    <w:p>
      <w:pPr>
        <w:pStyle w:val="kar_normal"/>
        <w:ind w:left="864"/>
      </w:pPr>
      <w:r>
        <w:t xml:space="preserve">For subsequent years:</w:t>
      </w:r>
      <w:r>
        <w:t xml:space="preserve"> The amendment to this administrative regulation will not affect revenues.</w:t>
      </w:r>
    </w:p>
    <w:p>
      <w:pPr>
        <w:pStyle w:val="kar_normal"/>
        <w:ind w:left="576"/>
      </w:pPr>
      <w:r>
        <w:t xml:space="preserve">3. Cost Savings:</w:t>
      </w:r>
    </w:p>
    <w:p>
      <w:pPr>
        <w:pStyle w:val="kar_normal"/>
        <w:ind w:left="864"/>
      </w:pPr>
      <w:r>
        <w:t xml:space="preserve">For the first year:</w:t>
      </w:r>
      <w:r>
        <w:t xml:space="preserve"> The amendment to this administrative regulation will not result in any cost savings.</w:t>
      </w:r>
    </w:p>
    <w:p>
      <w:pPr>
        <w:pStyle w:val="kar_normal"/>
        <w:ind w:left="864"/>
      </w:pPr>
      <w:r>
        <w:t xml:space="preserve">For subsequent years:</w:t>
      </w:r>
      <w:r>
        <w:t xml:space="preserve"> The amendment to this administrative regulation will not result in any cost savings.</w:t>
      </w:r>
    </w:p>
    <w:p>
      <w:pPr>
        <w:pStyle w:val="kar_normal"/>
        <w:ind w:left="288"/>
      </w:pPr>
      <w:r>
        <w:t xml:space="preserve">(4)(a) Identify affected local entities (for example: cities, counties, fire departments, school districts):</w:t>
      </w:r>
    </w:p>
    <w:p>
      <w:pPr>
        <w:pStyle w:val="kar_normal"/>
        <w:ind w:left="432"/>
      </w:pPr>
      <w:r>
        <w:t xml:space="preserve">The amendment to this administrative regulation will not impact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amendment to this administrative regulation will not impact the expenditures of local entities.</w:t>
      </w:r>
    </w:p>
    <w:p>
      <w:pPr>
        <w:pStyle w:val="kar_normal"/>
        <w:ind w:left="864"/>
      </w:pPr>
      <w:r>
        <w:t xml:space="preserve">For subsequent years:</w:t>
      </w:r>
      <w:r>
        <w:t xml:space="preserve"> The amendment to this administrative regulation will not impact the expenditures of local entities.</w:t>
      </w:r>
    </w:p>
    <w:p>
      <w:pPr>
        <w:pStyle w:val="kar_normal"/>
        <w:ind w:left="576"/>
      </w:pPr>
      <w:r>
        <w:t xml:space="preserve">2. Revenues:</w:t>
      </w:r>
    </w:p>
    <w:p>
      <w:pPr>
        <w:pStyle w:val="kar_normal"/>
        <w:ind w:left="864"/>
      </w:pPr>
      <w:r>
        <w:t xml:space="preserve">For the first year:</w:t>
      </w:r>
      <w:r>
        <w:t xml:space="preserve"> The amendment to this administrative regulation will not impact the revenues of local entities.</w:t>
      </w:r>
    </w:p>
    <w:p>
      <w:pPr>
        <w:pStyle w:val="kar_normal"/>
        <w:ind w:left="864"/>
      </w:pPr>
      <w:r>
        <w:t xml:space="preserve">For subsequent years:</w:t>
      </w:r>
      <w:r>
        <w:t xml:space="preserve"> The amendment to this administrative regulation will not impact the revenues of local entities.</w:t>
      </w:r>
    </w:p>
    <w:p>
      <w:pPr>
        <w:pStyle w:val="kar_normal"/>
        <w:ind w:left="576"/>
      </w:pPr>
      <w:r>
        <w:t xml:space="preserve">3. Cost Savings:</w:t>
      </w:r>
    </w:p>
    <w:p>
      <w:pPr>
        <w:pStyle w:val="kar_normal"/>
        <w:ind w:left="864"/>
      </w:pPr>
      <w:r>
        <w:t xml:space="preserve">For the first year:</w:t>
      </w:r>
      <w:r>
        <w:t xml:space="preserve"> The amendment to this administrative regulation will not impact the cost savings of local entities.</w:t>
      </w:r>
    </w:p>
    <w:p>
      <w:pPr>
        <w:pStyle w:val="kar_normal"/>
        <w:ind w:left="864"/>
      </w:pPr>
      <w:r>
        <w:t xml:space="preserve">For subsequent years:</w:t>
      </w:r>
      <w:r>
        <w:t xml:space="preserve"> The amendment to this administrative regulation will not impact the cost savings of local entities.</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administrative regulation will have a negligible fiscal impact on the Department of Revenue.</w:t>
      </w:r>
    </w:p>
    <w:p>
      <w:pPr>
        <w:pStyle w:val="kar_normal"/>
        <w:ind w:left="288"/>
      </w:pPr>
      <w:r>
        <w:t xml:space="preserve">(b) Methodology and resources used to reach this conclusion:</w:t>
      </w:r>
    </w:p>
    <w:p>
      <w:pPr>
        <w:pStyle w:val="kar_normal"/>
        <w:ind w:left="432"/>
      </w:pPr>
      <w:r>
        <w:t xml:space="preserve">The current Life Mortality Tables used and knowledge of how these tables fluctuate minimally.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 amendment to 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methodology was necessary, since there is no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01603c5664afa" /><Relationship Type="http://schemas.openxmlformats.org/officeDocument/2006/relationships/settings" Target="/word/settings.xml" Id="R6c9f3c76aded4566" /></Relationships>
</file>