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ffd9de9d6c43d8" /></Relationships>
</file>

<file path=word/document.xml><?xml version="1.0" encoding="utf-8"?>
<w:document xmlns:w="http://schemas.openxmlformats.org/wordprocessingml/2006/main">
  <w:body>
    <w:p>
      <w:pPr>
        <w:pStyle w:val="kar_citation"/>
      </w:pPr>
      <w:r>
        <w:t>806 KAR 20:030.</w:t>
      </w:r>
      <w:r>
        <w:t xml:space="preserve"> </w:t>
      </w:r>
      <w:r>
        <w:t xml:space="preserve">Car valuation guides.</w:t>
      </w:r>
    </w:p>
    <w:p>
      <w:pPr>
        <w:pStyle w:val="kar_markup_metadata"/>
      </w:pPr>
      <w:r>
        <w:t xml:space="preserve">RELATES TO: </w:t>
      </w:r>
      <w:r>
        <w:t xml:space="preserve">KRS 304.20-110</w:t>
      </w:r>
    </w:p>
    <w:p>
      <w:pPr>
        <w:pStyle w:val="kar_markup_metadata"/>
      </w:pPr>
      <w:r>
        <w:t xml:space="preserve">STATUTORY AUTHORITY: </w:t>
      </w:r>
      <w:r>
        <w:t xml:space="preserve">KRS 304.20-110</w:t>
      </w:r>
    </w:p>
    <w:p>
      <w:pPr>
        <w:pStyle w:val="kar_markup_metadata"/>
      </w:pPr>
      <w:r>
        <w:t xml:space="preserve">NECESSITY, FUNCTION, AND CONFORMITY: </w:t>
      </w:r>
      <w:r>
        <w:t xml:space="preserve">KRS 304.20-110 authorizes the commissioner to promulgate an administrative regulation to identify the nationally accepted used car valuation guides or tools to be used when determining the retail value of a wrecked, destroyed, or damaged motor vehicle, under KRS Chapter 186A. This administrative regulation establishes the nationally accepted used car valuation guides or tools to be used when determining the retail value of a wrecked, destroyed, or damaged motor vehicle.</w:t>
      </w:r>
    </w:p>
    <w:p>
      <w:pPr>
        <w:pStyle w:val="kar_section"/>
      </w:pPr>
      <w:r>
        <w:t xml:space="preserve">Section 1.</w:t>
      </w:r>
      <w:r>
        <w:t xml:space="preserve"> </w:t>
      </w:r>
      <w:r>
        <w:t xml:space="preserve">A property insurer, casualty insurer, and property and casualty insurer shall use the following car valuation guides when determining the retail value of a wrecked, destroyed, or damaged motor vehicle, under KRS Chapter 186A:</w:t>
      </w:r>
    </w:p>
    <w:p>
      <w:pPr>
        <w:pStyle w:val="kar_subsection"/>
      </w:pPr>
      <w:r>
        <w:t xml:space="preserve">(1)</w:t>
      </w:r>
      <w:r>
        <w:t xml:space="preserve"> </w:t>
      </w:r>
      <w:r>
        <w:t xml:space="preserve">The current version of the Kelley Blue Book, or any successor entity; or</w:t>
      </w:r>
    </w:p>
    <w:p>
      <w:pPr>
        <w:pStyle w:val="kar_subsection"/>
      </w:pPr>
      <w:r>
        <w:t xml:space="preserve">(2)</w:t>
      </w:r>
      <w:r>
        <w:t xml:space="preserve"> </w:t>
      </w:r>
      <w:r>
        <w:t xml:space="preserve">The current version of the J.D. Power Values/National Association of Auto Dealers guidelines, or any successor entity.</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58323d5c10439a" /><Relationship Type="http://schemas.openxmlformats.org/officeDocument/2006/relationships/settings" Target="/word/settings.xml" Id="R5483de22f4fa4f5e" /></Relationships>
</file>