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54e6f754cb487d" /></Relationships>
</file>

<file path=word/document.xml><?xml version="1.0" encoding="utf-8"?>
<w:document xmlns:w="http://schemas.openxmlformats.org/wordprocessingml/2006/main">
  <w:body>
    <w:p>
      <w:pPr>
        <w:pStyle w:val="kar_citation"/>
      </w:pPr>
      <w:r>
        <w:t>200 KAR 5:021.</w:t>
      </w:r>
      <w:r>
        <w:t xml:space="preserve"> </w:t>
      </w:r>
      <w:r>
        <w:t xml:space="preserve">Manual of policies and procedures.</w:t>
      </w:r>
    </w:p>
    <w:p>
      <w:pPr>
        <w:pStyle w:val="kar_markup_metadata"/>
      </w:pPr>
      <w:r>
        <w:t xml:space="preserve">RELATES TO: </w:t>
      </w:r>
      <w:r>
        <w:t xml:space="preserve">KRS 45A.045(2)</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July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website, https://finance.ky.gov/office-of-the-secretary/office-of-policy-and-audit/Pages/Finance-Policies.aspx.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c7d0351834409b" /><Relationship Type="http://schemas.openxmlformats.org/officeDocument/2006/relationships/settings" Target="/word/settings.xml" Id="R3f905b40b93f4e70" /></Relationships>
</file>