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8e474796f848ae"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12:050.</w:t>
      </w:r>
      <w:r>
        <w:t xml:space="preserve"> </w:t>
      </w:r>
      <w:r>
        <w:t xml:space="preserve">Substitution of a beneficiary.</w:t>
      </w:r>
    </w:p>
    <w:p>
      <w:pPr>
        <w:pStyle w:val="kar_markup_metadata"/>
      </w:pPr>
      <w:r>
        <w:t xml:space="preserve">RELATES TO: </w:t>
      </w:r>
      <w:r>
        <w:t xml:space="preserve">KRS 164A.325(5), 164A.330(4), (5)</w:t>
      </w:r>
    </w:p>
    <w:p>
      <w:pPr>
        <w:pStyle w:val="kar_markup_metadata"/>
      </w:pPr>
      <w:r>
        <w:t xml:space="preserve">STATUTORY AUTHORITY: </w:t>
      </w:r>
      <w:r>
        <w:t xml:space="preserve">KRS </w:t>
      </w:r>
      <w:r>
        <w:rPr>
          <w:u w:val="single"/>
        </w:rPr>
        <w:t xml:space="preserve">164A.310(14), </w:t>
      </w:r>
      <w:r>
        <w:t xml:space="preserve">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for the administration of the Kentucky Educational Savings Plan Trust. KRS 164A.330(4) and (5) establishes the statutory framework for the substitution of a beneficiary. KRS 164A.325(5) authorizes the board to promulgate, impose, and collect administrative fees and charges for trust transactions. This administrative regulation establishes the requirements for the substitution of a beneficiary.</w:t>
      </w:r>
    </w:p>
    <w:p>
      <w:pPr>
        <w:pStyle w:val="kar_section"/>
      </w:pPr>
      <w:r>
        <w:t xml:space="preserve">Section 1.</w:t>
      </w:r>
      <w:r>
        <w:t xml:space="preserve"> </w:t>
      </w:r>
      <w:r>
        <w:t xml:space="preserve">Substitution.</w:t>
      </w:r>
    </w:p>
    <w:p>
      <w:pPr>
        <w:pStyle w:val="kar_subsection"/>
      </w:pPr>
      <w:r>
        <w:t xml:space="preserve">(1)</w:t>
      </w:r>
      <w:r>
        <w:t xml:space="preserve"> </w:t>
      </w:r>
      <w:r>
        <w:t xml:space="preserve">A participant may substitute a beneficiary at any time subject to KRS 164A.330(4). If a participant desires to substitute the beneficiary, the participant shall give written </w:t>
      </w:r>
      <w:r>
        <w:rPr>
          <w:u w:val="single"/>
        </w:rPr>
        <w:t xml:space="preserve">or electronic </w:t>
      </w:r>
      <w:r>
        <w:t xml:space="preserve">notice to the program administrator by submitting a </w:t>
      </w:r>
      <w:r>
        <w:rPr>
          <w:u w:val="single"/>
        </w:rPr>
        <w:t xml:space="preserve">request.</w:t>
      </w:r>
      <w:r>
        <w:t>[</w:t>
      </w:r>
      <w:r>
        <w:rPr>
          <w:strike w:val="true"/>
        </w:rPr>
        <w:t xml:space="preserve">"notice to substitute beneficiary."</w:t>
      </w:r>
      <w:r>
        <w:t>]</w:t>
      </w:r>
    </w:p>
    <w:p>
      <w:pPr>
        <w:pStyle w:val="kar_subsection"/>
      </w:pPr>
      <w:r>
        <w:t xml:space="preserve">(2)</w:t>
      </w:r>
      <w:r>
        <w:t xml:space="preserve"> </w:t>
      </w:r>
      <w:r>
        <w:t xml:space="preserve">In order for a substitution of beneficiary to be effective, the substituted beneficiary shall be already designated as a beneficiary on another account or eligible, pursuant to 11 KAR 12:030</w:t>
      </w:r>
      <w:r>
        <w:rPr>
          <w:u w:val="single"/>
        </w:rPr>
        <w:t xml:space="preserve"> and 26 U.S.C. 529(e)(1)</w:t>
      </w:r>
      <w:r>
        <w:t xml:space="preserve">, on the date that the </w:t>
      </w:r>
      <w:r>
        <w:rPr>
          <w:u w:val="single"/>
        </w:rPr>
        <w:t xml:space="preserve">request</w:t>
      </w:r>
      <w:r>
        <w:t>[</w:t>
      </w:r>
      <w:r>
        <w:rPr>
          <w:strike w:val="true"/>
        </w:rPr>
        <w:t xml:space="preserve">notice</w:t>
      </w:r>
      <w:r>
        <w:t>]</w:t>
      </w:r>
      <w:r>
        <w:t xml:space="preserve"> to substitute beneficiary is submitted.</w:t>
      </w:r>
    </w:p>
    <w:p>
      <w:pPr>
        <w:pStyle w:val="kar_signature"/>
      </w:pPr>
      <w:r>
        <w:t xml:space="preserve">GREG ROUSH, Chair</w:t>
      </w:r>
    </w:p>
    <w:p>
      <w:pPr>
        <w:pStyle w:val="kar_normal"/>
      </w:pPr>
      <w:r>
        <w:t xml:space="preserve"/>
      </w:r>
    </w:p>
    <w:p>
      <w:pPr>
        <w:pStyle w:val="kar_approved_by"/>
      </w:pPr>
      <w:r>
        <w:t xml:space="preserve">APPROVED BY AGENCY: June 12, 2025</w:t>
      </w:r>
    </w:p>
    <w:p>
      <w:pPr>
        <w:pStyle w:val="kar_filed"/>
      </w:pPr>
      <w:r>
        <w:t xml:space="preserve">FILED WITH LRC: July 14, 2025 at 8:25 a.m.</w:t>
      </w:r>
    </w:p>
    <w:p>
      <w:pPr>
        <w:pStyle w:val="kar_normal"/>
      </w:pPr>
      <w:r>
        <w:t xml:space="preserve"/>
      </w:r>
    </w:p>
    <w:p>
      <w:pPr>
        <w:pStyle w:val="kar_comment_period"/>
      </w:pPr>
      <w:r>
        <w:t xml:space="preserve">PUBLIC HEARING AND PUBLIC COMMENT PERIOD: A public hearing on this administrative regulation shall be held on Wednesday, September 24, 2025,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David Lawhorn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substitution of a beneficiary under the Kentucky Educational Savings Plan Trust program.</w:t>
      </w:r>
    </w:p>
    <w:p>
      <w:pPr>
        <w:pStyle w:val="kar_normal"/>
        <w:ind w:left="576"/>
      </w:pPr>
      <w:r>
        <w:t xml:space="preserve">(b) The necessity of this administrative regulation:</w:t>
      </w:r>
    </w:p>
    <w:p>
      <w:pPr>
        <w:pStyle w:val="kar_normal"/>
        <w:ind w:left="720"/>
      </w:pPr>
      <w:r>
        <w:t xml:space="preserve">This administrative regulation is necessary in order to advise plan participants of the process for substituting beneficiaries thereunder.</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prescribing the requirements for beneficiary substitution under the program as required by the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prescribing the requirements whereby a plan participant can substitute a beneficiary.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existing regulation by providing that the required notification form can be submitted by electronic means.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in order to advise plan participants of the means by which they can achieve substitution of the beneficiary for their plan.</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expanding the means to substitute a plan beneficiary through electronic means.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KESPT program by expanding the method by which a plan participant can submit notice of change of beneficiary to include electronic means.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31, 2025, there were 24,895 participants in the Kentucky Educational Savings Plan Trust.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Program participants must submit the specified change of beneficiary form in order to accomplish this. Under the amendment, this form can be submitted by electronic means.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applicants in complying with this amendment. </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a program participant will able to complete this change.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required in order to implement this administrative regulation since it merely expands the means by which the beneficiary form may be submitted to include by electronic means.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164A.310(14) and 164A.325, 26 U.S.C. 529.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164A.310(14) and 164A.325.</w:t>
      </w:r>
    </w:p>
    <w:p>
      <w:pPr>
        <w:pStyle w:val="kar_normal"/>
        <w:ind w:left="288"/>
      </w:pPr>
      <w:r>
        <w:t xml:space="preserve">(3)(a)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will be required as a result of this amendment to the administrative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additional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administrative regulation.</w:t>
      </w:r>
    </w:p>
    <w:p>
      <w:pPr>
        <w:pStyle w:val="kar_normal"/>
        <w:ind w:left="864"/>
      </w:pPr>
      <w:r>
        <w:t xml:space="preserve">For subsequent years:</w:t>
      </w:r>
      <w:r>
        <w:t xml:space="preserve"> Same as above.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(5)(a) Identify any affected regulated entities not listed in (3)(a) or (4)(a):</w:t>
      </w:r>
    </w:p>
    <w:p>
      <w:pPr>
        <w:pStyle w:val="kar_normal"/>
        <w:ind w:left="432"/>
      </w:pPr>
      <w:r>
        <w:t xml:space="preserve">The entities affected by the amendment to this administrative regulation are those who elect to participate in the KESPT program.</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Since this administrative regulation merely defines applicable terms for the KESPT program and the forms to be utilized in accessing benefits, there is no fiscal impact.</w:t>
      </w:r>
    </w:p>
    <w:p>
      <w:pPr>
        <w:pStyle w:val="kar_normal"/>
        <w:ind w:left="288"/>
      </w:pPr>
      <w:r>
        <w:t xml:space="preserve">(b) Methodology and resources used to reach this conclusion:</w:t>
      </w:r>
    </w:p>
    <w:p>
      <w:pPr>
        <w:pStyle w:val="kar_normal"/>
        <w:ind w:left="432"/>
      </w:pPr>
      <w:r>
        <w:t xml:space="preserve">As noted, there is no fiscal impact on any of the affected entities as this regulation simply defines terms and prescribes the forms to be used for the KESPT program.</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discussed above, there is no fiscal impact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6343e2730845de" /><Relationship Type="http://schemas.openxmlformats.org/officeDocument/2006/relationships/settings" Target="/word/settings.xml" Id="R9ce09a1921774a71" /></Relationships>
</file>