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dd7d19e4844b7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shall be subject to audit of their compliance with the requirements of this section.</w:t>
      </w:r>
    </w:p>
    <w:p>
      <w:pPr>
        <w:pStyle w:val="kar_section"/>
      </w:pPr>
      <w:r>
        <w:t xml:space="preserve">Section 6.</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must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w:t>
      </w:r>
      <w:r>
        <w:rPr>
          <w:u w:val="single"/>
        </w:rPr>
        <w:t xml:space="preserve"> and signed</w:t>
      </w:r>
      <w:r>
        <w:t>[</w:t>
      </w:r>
      <w:r>
        <w:rPr>
          <w:strike w:val="true"/>
        </w:rPr>
        <w:t xml:space="preserve">, signed, and notarized</w:t>
      </w:r>
      <w:r>
        <w:t>]</w:t>
      </w:r>
      <w:r>
        <w:t xml:space="preserve">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w:t>
      </w:r>
      <w:r>
        <w:rPr>
          <w:u w:val="single"/>
        </w:rPr>
        <w:t xml:space="preserve">continuing education</w:t>
      </w:r>
      <w:r>
        <w:t>[</w:t>
      </w:r>
      <w:r>
        <w:rPr>
          <w:strike w:val="true"/>
        </w:rPr>
        <w:t xml:space="preserve">refresher</w:t>
      </w:r>
      <w:r>
        <w:t>]</w:t>
      </w:r>
      <w:r>
        <w:t xml:space="preserve"> course prior to resuming </w:t>
      </w:r>
      <w:r>
        <w:rPr>
          <w:u w:val="single"/>
        </w:rPr>
        <w:t xml:space="preserve">the </w:t>
      </w:r>
      <w:r>
        <w:t xml:space="preserve">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w:t>
      </w:r>
      <w:r>
        <w:t xml:space="preserve">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w:t>
      </w:r>
      <w:r>
        <w:t xml:space="preserve">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Works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Works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rPr>
          <w:u w:val="single"/>
        </w:rPr>
        <w:t xml:space="preserve">A</w:t>
      </w:r>
      <w:r>
        <w:t>[</w:t>
      </w:r>
      <w:r>
        <w:rPr>
          <w:strike w:val="true"/>
        </w:rPr>
        <w:t xml:space="preserve">Pursuant to KRS 313.040(8)(c), a</w:t>
      </w:r>
      <w:r>
        <w:t>]</w:t>
      </w:r>
      <w:r>
        <w:t xml:space="preserve"> public health registered dental hygienist may</w:t>
      </w:r>
      <w:r>
        <w:rPr>
          <w:u w:val="single"/>
        </w:rPr>
        <w:t xml:space="preserve"> only</w:t>
      </w:r>
      <w:r>
        <w:t xml:space="preserve"> practice </w:t>
      </w:r>
      <w:r>
        <w:rPr>
          <w:u w:val="single"/>
        </w:rPr>
        <w:t xml:space="preserve">public health hygiene in accordance with KRS 313.040(8).</w:t>
      </w:r>
      <w:r>
        <w:t>[</w:t>
      </w:r>
      <w:r>
        <w:rPr>
          <w:strike w:val="true"/>
        </w:rPr>
        <w:t xml:space="preserve">in a government-created public health program at the following sites:</w:t>
      </w:r>
      <w:r>
        <w:t>]</w:t>
      </w:r>
    </w:p>
    <w:p>
      <w:pPr>
        <w:pStyle w:val="kar_paragraph"/>
      </w:pPr>
      <w:r>
        <w:t>[</w:t>
      </w:r>
      <w:r>
        <w:rPr>
          <w:strike w:val="true"/>
        </w:rPr>
        <w:t xml:space="preserve">(a)</w:t>
      </w:r>
      <w:r>
        <w:t>]</w:t>
      </w:r>
      <w:r>
        <w:t xml:space="preserve"> </w:t>
      </w:r>
      <w:r>
        <w:t>[</w:t>
      </w:r>
      <w:r>
        <w:rPr>
          <w:strike w:val="true"/>
        </w:rPr>
        <w:t xml:space="preserve">Local health departments;</w:t>
      </w:r>
      <w:r>
        <w:t>]</w:t>
      </w:r>
    </w:p>
    <w:p>
      <w:pPr>
        <w:pStyle w:val="kar_paragraph"/>
      </w:pPr>
      <w:r>
        <w:t>[</w:t>
      </w:r>
      <w:r>
        <w:rPr>
          <w:strike w:val="true"/>
        </w:rPr>
        <w:t xml:space="preserve">(b)</w:t>
      </w:r>
      <w:r>
        <w:t>]</w:t>
      </w:r>
      <w:r>
        <w:t xml:space="preserve"> </w:t>
      </w:r>
      <w:r>
        <w:t>[</w:t>
      </w:r>
      <w:r>
        <w:rPr>
          <w:strike w:val="true"/>
        </w:rP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r>
        <w:t>]</w:t>
      </w:r>
    </w:p>
    <w:p>
      <w:pPr>
        <w:pStyle w:val="kar_paragraph"/>
      </w:pPr>
      <w:r>
        <w:t>[</w:t>
      </w:r>
      <w:r>
        <w:rPr>
          <w:strike w:val="true"/>
        </w:rPr>
        <w:t xml:space="preserve">(c)</w:t>
      </w:r>
      <w:r>
        <w:t>]</w:t>
      </w:r>
      <w:r>
        <w:t xml:space="preserve"> </w:t>
      </w:r>
      <w:r>
        <w:t>[</w:t>
      </w:r>
      <w:r>
        <w:rPr>
          <w:strike w:val="true"/>
        </w:rPr>
        <w:t xml:space="preserve">Mobile and portable dental health programs under contract with a governing board of health; and</w:t>
      </w:r>
      <w:r>
        <w:t>]</w:t>
      </w:r>
    </w:p>
    <w:p>
      <w:pPr>
        <w:pStyle w:val="kar_paragraph"/>
      </w:pPr>
      <w:r>
        <w:t>[</w:t>
      </w:r>
      <w:r>
        <w:rPr>
          <w:strike w:val="true"/>
        </w:rPr>
        <w:t xml:space="preserve">(d)</w:t>
      </w:r>
      <w:r>
        <w:t>]</w:t>
      </w:r>
      <w:r>
        <w:t xml:space="preserve"> </w:t>
      </w:r>
      <w:r>
        <w:t>[</w:t>
      </w:r>
      <w:r>
        <w:rPr>
          <w:strike w:val="true"/>
        </w:rPr>
        <w:t xml:space="preserve">Public or private institutions under the jurisdiction of a federal, state, or local agency.</w:t>
      </w:r>
      <w:r>
        <w:t>]</w:t>
      </w:r>
    </w:p>
    <w:p>
      <w:pPr>
        <w:pStyle w:val="kar_subsection"/>
      </w:pPr>
      <w:r>
        <w:t>[</w:t>
      </w:r>
      <w:r>
        <w:rPr>
          <w:strike w:val="true"/>
        </w:rPr>
        <w:t xml:space="preserve">(4)</w:t>
      </w:r>
      <w:r>
        <w:t>]</w:t>
      </w:r>
      <w:r>
        <w:t xml:space="preserve"> </w:t>
      </w:r>
      <w:r>
        <w:t>[</w:t>
      </w:r>
      <w:r>
        <w:rPr>
          <w:strike w:val="true"/>
        </w:rPr>
        <w:t xml:space="preserve">A public health registered dental hygienist shall perform dental hygiene services only under the authority of the governing board of health, as required by KRS 313.040(3)(b), as established in KRS 313.040(8), and as identified by the Department for Public Health Practice Reference.</w:t>
      </w:r>
      <w:r>
        <w:t>]</w:t>
      </w:r>
    </w:p>
    <w:p>
      <w:pPr>
        <w:pStyle w:val="kar_paragraph"/>
      </w:pPr>
      <w:r>
        <w:t>[</w:t>
      </w:r>
      <w:r>
        <w:rPr>
          <w:strike w:val="true"/>
        </w:rPr>
        <w:t xml:space="preserve">(a)</w:t>
      </w:r>
      <w:r>
        <w:t>]</w:t>
      </w:r>
      <w:r>
        <w:t xml:space="preserve"> </w:t>
      </w:r>
      <w:r>
        <w:t>[</w:t>
      </w:r>
      <w:r>
        <w:rPr>
          <w:strike w:val="true"/>
        </w:rPr>
        <w:t xml:space="preserve">These services shall be limited to:</w:t>
      </w:r>
      <w:r>
        <w:t>]</w:t>
      </w:r>
    </w:p>
    <w:p>
      <w:pPr>
        <w:pStyle w:val="kar_subparagraph"/>
      </w:pPr>
      <w:r>
        <w:t>[</w:t>
      </w:r>
      <w:r>
        <w:rPr>
          <w:strike w:val="true"/>
        </w:rPr>
        <w:t xml:space="preserve">1.</w:t>
      </w:r>
      <w:r>
        <w:t>]</w:t>
      </w:r>
      <w:r>
        <w:t xml:space="preserve"> </w:t>
      </w:r>
      <w:r>
        <w:t>[</w:t>
      </w:r>
      <w:r>
        <w:rPr>
          <w:strike w:val="true"/>
        </w:rPr>
        <w:t xml:space="preserve">Preventativeservices; and</w:t>
      </w:r>
      <w:r>
        <w:t>]</w:t>
      </w:r>
    </w:p>
    <w:p>
      <w:pPr>
        <w:pStyle w:val="kar_subparagraph"/>
      </w:pPr>
      <w:r>
        <w:t>[</w:t>
      </w:r>
      <w:r>
        <w:rPr>
          <w:strike w:val="true"/>
        </w:rPr>
        <w:t xml:space="preserve">2.</w:t>
      </w:r>
      <w:r>
        <w:t>]</w:t>
      </w:r>
      <w:r>
        <w:t xml:space="preserve"> </w:t>
      </w:r>
      <w:r>
        <w:t>[</w:t>
      </w:r>
      <w:r>
        <w:rPr>
          <w:strike w:val="true"/>
        </w:rPr>
        <w:t xml:space="preserve">The application of silver diamine fluoride if the supervising dentist has authorized the treatment and provided written protocols for each patient.</w:t>
      </w:r>
      <w:r>
        <w:t>]</w:t>
      </w:r>
    </w:p>
    <w:p>
      <w:pPr>
        <w:pStyle w:val="kar_paragraph"/>
      </w:pPr>
      <w:r>
        <w:t>[</w:t>
      </w:r>
      <w:r>
        <w:rPr>
          <w:strike w:val="true"/>
        </w:rPr>
        <w:t xml:space="preserve">(b)</w:t>
      </w:r>
      <w:r>
        <w:t>]</w:t>
      </w:r>
      <w:r>
        <w:t xml:space="preserve"> </w:t>
      </w:r>
      <w:r>
        <w:t>[</w:t>
      </w:r>
      <w:r>
        <w:rPr>
          <w:strike w:val="true"/>
        </w:rPr>
        <w:t xml:space="preserve">The</w:t>
      </w:r>
      <w:r>
        <w:t>]</w:t>
      </w:r>
    </w:p>
    <w:p>
      <w:pPr>
        <w:pStyle w:val="kar_subsection"/>
      </w:pPr>
      <w:r>
        <w:rPr>
          <w:u w:val="single"/>
        </w:rPr>
        <w:t xml:space="preserve">(4)</w:t>
      </w:r>
      <w:r>
        <w:t xml:space="preserve"> </w:t>
      </w:r>
      <w:r>
        <w:rPr>
          <w:u w:val="single"/>
        </w:rPr>
        <w:t xml:space="preserve">A </w:t>
      </w:r>
      <w:r>
        <w:t xml:space="preserve">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w:t>
      </w:r>
      <w:r>
        <w:rPr>
          <w:strike w:val="true"/>
        </w:rPr>
        <w:t xml:space="preserve">(c)</w:t>
      </w:r>
      <w:r>
        <w:t>]</w:t>
      </w:r>
      <w:r>
        <w:t xml:space="preserve"> </w:t>
      </w:r>
      <w:r>
        <w:t>[</w:t>
      </w:r>
      <w:r>
        <w:rPr>
          <w:strike w:val="true"/>
        </w:rPr>
        <w:t xml:space="preserve">The informed consent shall be required prior to providing the services referenced in paragraph (a) of this subsection and shall include:</w:t>
      </w:r>
      <w:r>
        <w:t>]</w:t>
      </w:r>
    </w:p>
    <w:p>
      <w:pPr>
        <w:pStyle w:val="kar_subparagraph"/>
      </w:pPr>
      <w:r>
        <w:t>[</w:t>
      </w:r>
      <w:r>
        <w:rPr>
          <w:strike w:val="true"/>
        </w:rPr>
        <w:t xml:space="preserve">1.</w:t>
      </w:r>
      <w:r>
        <w:t>]</w:t>
      </w:r>
      <w:r>
        <w:t xml:space="preserve"> </w:t>
      </w:r>
      <w:r>
        <w:t>[</w:t>
      </w:r>
      <w:r>
        <w:rPr>
          <w:strike w:val="true"/>
        </w:rPr>
        <w:t xml:space="preserve">The name of the public health entity, including the name of the dentist, that assumes responsibility and control;</w:t>
      </w:r>
      <w:r>
        <w:t>]</w:t>
      </w:r>
    </w:p>
    <w:p>
      <w:pPr>
        <w:pStyle w:val="kar_subparagraph"/>
      </w:pPr>
      <w:r>
        <w:t>[</w:t>
      </w:r>
      <w:r>
        <w:rPr>
          <w:strike w:val="true"/>
        </w:rPr>
        <w:t xml:space="preserve">2.</w:t>
      </w:r>
      <w:r>
        <w:t>]</w:t>
      </w:r>
      <w:r>
        <w:t xml:space="preserve"> </w:t>
      </w:r>
      <w:r>
        <w:t>[</w:t>
      </w:r>
      <w:r>
        <w:rPr>
          <w:strike w:val="true"/>
        </w:rPr>
        <w:t xml:space="preserve">An inquiry as to the current dentist; and</w:t>
      </w:r>
      <w:r>
        <w:t>]</w:t>
      </w:r>
    </w:p>
    <w:p>
      <w:pPr>
        <w:pStyle w:val="kar_subparagraph"/>
      </w:pPr>
      <w:r>
        <w:t>[</w:t>
      </w:r>
      <w:r>
        <w:rPr>
          <w:strike w:val="true"/>
        </w:rPr>
        <w:t xml:space="preserve">3.</w:t>
      </w:r>
      <w:r>
        <w:t>]</w:t>
      </w:r>
      <w:r>
        <w:t xml:space="preserve"> </w:t>
      </w:r>
      <w:r>
        <w:t>[</w:t>
      </w:r>
      <w:r>
        <w:rPr>
          <w:strike w:val="true"/>
        </w:rPr>
        <w:t xml:space="preserve">A statement that services are provided by a dental hygienist without the direct supervision of a dentist.</w:t>
      </w:r>
      <w:r>
        <w:t>]</w:t>
      </w:r>
    </w:p>
    <w:p>
      <w:pPr>
        <w:pStyle w:val="kar_subsection"/>
      </w:pPr>
      <w:r>
        <w:rPr>
          <w:u w:val="single"/>
        </w:rPr>
        <w:t xml:space="preserve">(5)</w:t>
      </w:r>
      <w:r>
        <w:t xml:space="preserve"> </w:t>
      </w:r>
      <w:r>
        <w:rPr>
          <w:u w:val="single"/>
        </w:rP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rPr>
          <w:u w:val="single"/>
        </w:rPr>
        <w:t xml:space="preserve">(a)</w:t>
      </w:r>
      <w:r>
        <w:t xml:space="preserve"> </w:t>
      </w:r>
      <w:r>
        <w:rPr>
          <w:u w:val="single"/>
        </w:rPr>
        <w:t xml:space="preserve">Oral Assessment;</w:t>
      </w:r>
    </w:p>
    <w:p>
      <w:pPr>
        <w:pStyle w:val="kar_paragraph"/>
      </w:pPr>
      <w:r>
        <w:rPr>
          <w:u w:val="single"/>
        </w:rPr>
        <w:t xml:space="preserve">(b)</w:t>
      </w:r>
      <w:r>
        <w:t xml:space="preserve"> </w:t>
      </w:r>
      <w:r>
        <w:rPr>
          <w:u w:val="single"/>
        </w:rPr>
        <w:t xml:space="preserve">Oral Hygiene Instruction;</w:t>
      </w:r>
    </w:p>
    <w:p>
      <w:pPr>
        <w:pStyle w:val="kar_paragraph"/>
      </w:pPr>
      <w:r>
        <w:rPr>
          <w:u w:val="single"/>
        </w:rPr>
        <w:t xml:space="preserve">(c)</w:t>
      </w:r>
      <w:r>
        <w:t xml:space="preserve"> </w:t>
      </w:r>
      <w:r>
        <w:rPr>
          <w:u w:val="single"/>
        </w:rPr>
        <w:t xml:space="preserve">Nutritional Counseling;</w:t>
      </w:r>
    </w:p>
    <w:p>
      <w:pPr>
        <w:pStyle w:val="kar_paragraph"/>
      </w:pPr>
      <w:r>
        <w:rPr>
          <w:u w:val="single"/>
        </w:rPr>
        <w:t xml:space="preserve">(d)</w:t>
      </w:r>
      <w:r>
        <w:t xml:space="preserve"> </w:t>
      </w:r>
      <w:r>
        <w:rPr>
          <w:u w:val="single"/>
        </w:rPr>
        <w:t xml:space="preserve">Tobacco Counseling;</w:t>
      </w:r>
    </w:p>
    <w:p>
      <w:pPr>
        <w:pStyle w:val="kar_paragraph"/>
      </w:pPr>
      <w:r>
        <w:rPr>
          <w:u w:val="single"/>
        </w:rPr>
        <w:t xml:space="preserve">(e)</w:t>
      </w:r>
      <w:r>
        <w:t xml:space="preserve"> </w:t>
      </w:r>
      <w:r>
        <w:rPr>
          <w:u w:val="single"/>
        </w:rPr>
        <w:t xml:space="preserve">High Risk Substance Counseling;</w:t>
      </w:r>
    </w:p>
    <w:p>
      <w:pPr>
        <w:pStyle w:val="kar_paragraph"/>
      </w:pPr>
      <w:r>
        <w:rPr>
          <w:u w:val="single"/>
        </w:rPr>
        <w:t xml:space="preserve">(f)</w:t>
      </w:r>
      <w:r>
        <w:t xml:space="preserve"> </w:t>
      </w:r>
      <w:r>
        <w:rPr>
          <w:u w:val="single"/>
        </w:rPr>
        <w:t xml:space="preserve">Prophylaxis - Adult;</w:t>
      </w:r>
    </w:p>
    <w:p>
      <w:pPr>
        <w:pStyle w:val="kar_paragraph"/>
      </w:pPr>
      <w:r>
        <w:rPr>
          <w:u w:val="single"/>
        </w:rPr>
        <w:t xml:space="preserve">(g)</w:t>
      </w:r>
      <w:r>
        <w:t xml:space="preserve"> </w:t>
      </w:r>
      <w:r>
        <w:rPr>
          <w:u w:val="single"/>
        </w:rPr>
        <w:t xml:space="preserve">Prophylaxis - Child;</w:t>
      </w:r>
    </w:p>
    <w:p>
      <w:pPr>
        <w:pStyle w:val="kar_paragraph"/>
      </w:pPr>
      <w:r>
        <w:rPr>
          <w:u w:val="single"/>
        </w:rPr>
        <w:t xml:space="preserve">(h)</w:t>
      </w:r>
      <w:r>
        <w:t xml:space="preserve"> </w:t>
      </w:r>
      <w:r>
        <w:rPr>
          <w:u w:val="single"/>
        </w:rPr>
        <w:t xml:space="preserve">Pit and Fissure Sealants;</w:t>
      </w:r>
    </w:p>
    <w:p>
      <w:pPr>
        <w:pStyle w:val="kar_paragraph"/>
      </w:pPr>
      <w:r>
        <w:rPr>
          <w:u w:val="single"/>
        </w:rPr>
        <w:t xml:space="preserve">(i)</w:t>
      </w:r>
      <w:r>
        <w:t xml:space="preserve"> </w:t>
      </w:r>
      <w:r>
        <w:rPr>
          <w:u w:val="single"/>
        </w:rPr>
        <w:t xml:space="preserve">Fluoride Treatment; and</w:t>
      </w:r>
    </w:p>
    <w:p>
      <w:pPr>
        <w:pStyle w:val="kar_paragraph"/>
      </w:pPr>
      <w:r>
        <w:rPr>
          <w:u w:val="single"/>
        </w:rPr>
        <w:t xml:space="preserve">(j)</w:t>
      </w:r>
      <w:r>
        <w:t xml:space="preserve"> </w:t>
      </w:r>
      <w:r>
        <w:rPr>
          <w:u w:val="single"/>
        </w:rPr>
        <w:t xml:space="preserve">Urgent Need.</w:t>
      </w:r>
    </w:p>
    <w:p>
      <w:pPr>
        <w:pStyle w:val="kar_subsection"/>
      </w:pPr>
      <w:r>
        <w:rPr>
          <w:u w:val="single"/>
        </w:rPr>
        <w:t xml:space="preserve">(6)</w:t>
      </w:r>
      <w:r>
        <w:t xml:space="preserve"> </w:t>
      </w:r>
      <w:r>
        <w:rPr>
          <w:u w:val="single"/>
        </w:rPr>
        <w:t xml:space="preserve">A public health registered dental hygienist shall not:</w:t>
      </w:r>
    </w:p>
    <w:p>
      <w:pPr>
        <w:pStyle w:val="kar_paragraph"/>
      </w:pPr>
      <w:r>
        <w:rPr>
          <w:u w:val="single"/>
        </w:rPr>
        <w:t xml:space="preserve">(a)</w:t>
      </w:r>
      <w:r>
        <w:t xml:space="preserve"> </w:t>
      </w:r>
      <w:r>
        <w:rPr>
          <w:u w:val="single"/>
        </w:rPr>
        <w:t xml:space="preserve">Restrict care based on a patient's insurance status or ability to pay; or</w:t>
      </w:r>
    </w:p>
    <w:p>
      <w:pPr>
        <w:pStyle w:val="kar_paragraph"/>
      </w:pPr>
      <w:r>
        <w:rPr>
          <w:u w:val="single"/>
        </w:rPr>
        <w:t xml:space="preserve">(b)</w:t>
      </w:r>
      <w:r>
        <w:t xml:space="preserve"> </w:t>
      </w:r>
      <w:r>
        <w:rPr>
          <w:u w:val="single"/>
        </w:rPr>
        <w:t xml:space="preserve">Require out-of-pocket payments from patients.</w:t>
      </w:r>
    </w:p>
    <w:p>
      <w:pPr>
        <w:pStyle w:val="kar_subsection"/>
      </w:pPr>
      <w:r>
        <w:rPr>
          <w:u w:val="single"/>
        </w:rPr>
        <w:t xml:space="preserve">(7)</w:t>
      </w:r>
      <w:r>
        <w:t xml:space="preserve"> </w:t>
      </w:r>
      <w:r>
        <w:rPr>
          <w:u w:val="single"/>
        </w:rPr>
        <w:t xml:space="preserve">Informed consent shall be obtained by the patient or legal guardian of the patient prior to providing services and shall include:</w:t>
      </w:r>
    </w:p>
    <w:p>
      <w:pPr>
        <w:pStyle w:val="kar_paragraph"/>
      </w:pPr>
      <w:r>
        <w:rPr>
          <w:u w:val="single"/>
        </w:rPr>
        <w:t xml:space="preserve">(a)</w:t>
      </w:r>
      <w:r>
        <w:t xml:space="preserve"> </w:t>
      </w:r>
      <w:r>
        <w:rPr>
          <w:u w:val="single"/>
        </w:rPr>
        <w:t xml:space="preserve">The name of the public health entity, including the name of the dentist, that assumes responsibility and control;</w:t>
      </w:r>
    </w:p>
    <w:p>
      <w:pPr>
        <w:pStyle w:val="kar_paragraph"/>
      </w:pPr>
      <w:r>
        <w:rPr>
          <w:u w:val="single"/>
        </w:rPr>
        <w:t xml:space="preserve">(b)</w:t>
      </w:r>
      <w:r>
        <w:t xml:space="preserve"> </w:t>
      </w:r>
      <w:r>
        <w:rPr>
          <w:u w:val="single"/>
        </w:rPr>
        <w:t xml:space="preserve">An inquiry as to the current dentist; and</w:t>
      </w:r>
    </w:p>
    <w:p>
      <w:pPr>
        <w:pStyle w:val="kar_paragraph"/>
      </w:pPr>
      <w:r>
        <w:rPr>
          <w:u w:val="single"/>
        </w:rPr>
        <w:t xml:space="preserve">(c)</w:t>
      </w:r>
      <w:r>
        <w:t xml:space="preserve"> </w:t>
      </w:r>
      <w:r>
        <w:rPr>
          <w:u w:val="single"/>
        </w:rPr>
        <w:t xml:space="preserve">A statement that services are provided by a dental hygienist without the direct supervision of a dentist.</w:t>
      </w:r>
    </w:p>
    <w:p>
      <w:pPr>
        <w:pStyle w:val="kar_subsection"/>
      </w:pPr>
      <w:r>
        <w:rPr>
          <w:u w:val="single"/>
        </w:rPr>
        <w:t xml:space="preserve">(8)</w:t>
      </w:r>
      <w:r>
        <w:t xml:space="preserve"> </w:t>
      </w:r>
      <w:r>
        <w:rPr>
          <w:u w:val="single"/>
        </w:rPr>
        <w:t xml:space="preserve">At the conclusion of each patient visit, the treating public health entity shall:</w:t>
      </w:r>
    </w:p>
    <w:p>
      <w:pPr>
        <w:pStyle w:val="kar_paragraph"/>
      </w:pPr>
      <w:r>
        <w:rPr>
          <w:u w:val="single"/>
        </w:rPr>
        <w:t xml:space="preserve">(a)</w:t>
      </w:r>
      <w:r>
        <w:t xml:space="preserve"> </w:t>
      </w:r>
      <w:r>
        <w:rPr>
          <w:u w:val="single"/>
        </w:rPr>
        <w:t xml:space="preserve">Provide the patient or legal guardian of the patient with a standardized handout of all available community resources;</w:t>
      </w:r>
    </w:p>
    <w:p>
      <w:pPr>
        <w:pStyle w:val="kar_paragraph"/>
      </w:pPr>
      <w:r>
        <w:rPr>
          <w:u w:val="single"/>
        </w:rPr>
        <w:t xml:space="preserve">(b)</w:t>
      </w:r>
      <w:r>
        <w:t xml:space="preserve"> </w:t>
      </w:r>
      <w:r>
        <w:rPr>
          <w:u w:val="single"/>
        </w:rPr>
        <w:t xml:space="preserve">Document that the referral to a dental home through the patient or legal guardian has begun within fourteen (14) days of the preventive visit for the patient with obvious dental needs.</w:t>
      </w:r>
    </w:p>
    <w:p>
      <w:pPr>
        <w:pStyle w:val="kar_subsection"/>
      </w:pPr>
      <w:r>
        <w:rPr>
          <w:u w:val="single"/>
        </w:rPr>
        <w:t xml:space="preserve">(9)</w:t>
      </w:r>
      <w:r>
        <w:t>[</w:t>
      </w:r>
      <w:r>
        <w:rPr>
          <w:strike w:val="true"/>
        </w:rPr>
        <w:t xml:space="preserve">(d)</w:t>
      </w:r>
      <w:r>
        <w:t>]</w:t>
      </w:r>
      <w:r>
        <w:t xml:space="preserve"> </w:t>
      </w:r>
      <w:r>
        <w:t xml:space="preserve">This administrative regulation shall not preclude a Kentucky-licensed dentist from directly participating in a public health program </w:t>
      </w:r>
      <w:r>
        <w:rPr>
          <w:u w:val="single"/>
        </w:rPr>
        <w:t xml:space="preserve">as </w:t>
      </w:r>
      <w:r>
        <w:t xml:space="preserve">referenced in </w:t>
      </w:r>
      <w:r>
        <w:rPr>
          <w:u w:val="single"/>
        </w:rPr>
        <w:t xml:space="preserve">KRS 313.040(8)(c)</w:t>
      </w:r>
      <w:r>
        <w:t>[</w:t>
      </w:r>
      <w:r>
        <w:rPr>
          <w:strike w:val="true"/>
        </w:rPr>
        <w:t xml:space="preserve">subsection (3) of this section</w:t>
      </w:r>
      <w:r>
        <w:t>]</w:t>
      </w:r>
      <w:r>
        <w:t xml:space="preserve">.</w:t>
      </w:r>
    </w:p>
    <w:p>
      <w:pPr>
        <w:pStyle w:val="kar_subsection"/>
      </w:pPr>
      <w:r>
        <w:rPr>
          <w:u w:val="single"/>
        </w:rPr>
        <w:t xml:space="preserve">(10)</w:t>
      </w: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 xml:space="preserve">During each biennial license period, a dental hygienist registered in public health dental hygiene shall complete </w:t>
      </w:r>
      <w:r>
        <w:rPr>
          <w:u w:val="single"/>
        </w:rPr>
        <w:t xml:space="preserve">nine (9) hours of continuing education</w:t>
      </w:r>
      <w:r>
        <w:t>[</w:t>
      </w:r>
      <w:r>
        <w:rPr>
          <w:strike w:val="true"/>
        </w:rPr>
        <w:t xml:space="preserve">the following</w:t>
      </w:r>
      <w:r>
        <w:t>]</w:t>
      </w:r>
      <w:r>
        <w:t xml:space="preserve"> to maintain </w:t>
      </w:r>
      <w:r>
        <w:rPr>
          <w:u w:val="single"/>
        </w:rPr>
        <w:t xml:space="preserve">public health </w:t>
      </w:r>
      <w:r>
        <w:t xml:space="preserve">registration upon license renewal</w:t>
      </w:r>
      <w:r>
        <w:rPr>
          <w:u w:val="single"/>
        </w:rPr>
        <w:t xml:space="preserve">.</w:t>
      </w:r>
      <w:r>
        <w:t>[</w:t>
      </w:r>
      <w:r>
        <w:rPr>
          <w:strike w:val="true"/>
        </w:rPr>
        <w:t xml:space="preserve">:</w:t>
      </w:r>
      <w:r>
        <w:t>]</w:t>
      </w:r>
    </w:p>
    <w:p>
      <w:pPr>
        <w:pStyle w:val="kar_paragraph"/>
      </w:pPr>
      <w:r>
        <w:rPr>
          <w:u w:val="single"/>
        </w:rPr>
        <w:t xml:space="preserve">(a)</w:t>
      </w:r>
      <w:r>
        <w:t xml:space="preserve"> </w:t>
      </w:r>
      <w:r>
        <w:rPr>
          <w:u w:val="single"/>
        </w:rPr>
        <w:t xml:space="preserve">These hours shall include:</w:t>
      </w:r>
    </w:p>
    <w:p>
      <w:pPr>
        <w:pStyle w:val="kar_subparagraph"/>
      </w:pPr>
      <w:r>
        <w:t xml:space="preserve">1.</w:t>
      </w:r>
      <w:r>
        <w:t xml:space="preserve"> </w:t>
      </w:r>
      <w:r>
        <w:rPr>
          <w:u w:val="single"/>
        </w:rPr>
        <w:t xml:space="preserve">Six (6)</w:t>
      </w:r>
      <w:r>
        <w:t>[</w:t>
      </w:r>
      <w:r>
        <w:rPr>
          <w:strike w:val="true"/>
        </w:rPr>
        <w:t xml:space="preserve">Three (3)</w:t>
      </w:r>
      <w:r>
        <w:t>]</w:t>
      </w:r>
      <w:r>
        <w:t xml:space="preserve">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r>
        <w:t>[</w:t>
      </w:r>
      <w:r>
        <w:rPr>
          <w:strike w:val="true"/>
        </w:rPr>
        <w:t xml:space="preserve"> and</w:t>
      </w:r>
      <w:r>
        <w:t>]</w:t>
      </w:r>
    </w:p>
    <w:p>
      <w:pPr>
        <w:pStyle w:val="kar_paragraph"/>
      </w:pPr>
      <w:r>
        <w:t xml:space="preserve">(h)</w:t>
      </w:r>
      <w:r>
        <w:t xml:space="preserve"> </w:t>
      </w:r>
      <w:r>
        <w:t xml:space="preserve">"2020 American Heart Association Guidelines for CPR and ECC", </w:t>
      </w:r>
      <w:r>
        <w:t>[</w:t>
      </w:r>
      <w:r>
        <w:rPr>
          <w:strike w:val="true"/>
        </w:rPr>
        <w:t xml:space="preserve">2020.</w:t>
      </w:r>
      <w:r>
        <w:t>]</w:t>
      </w:r>
      <w:r>
        <w:rPr>
          <w:u w:val="single"/>
        </w:rPr>
        <w:t xml:space="preserve">Copyright 2024 American Heart Association."; and</w:t>
      </w:r>
    </w:p>
    <w:p>
      <w:pPr>
        <w:pStyle w:val="kar_paragraph"/>
      </w:pPr>
      <w:r>
        <w:rPr>
          <w:u w:val="single"/>
        </w:rPr>
        <w:t xml:space="preserve">(i)</w:t>
      </w:r>
      <w:r>
        <w:t xml:space="preserve"> </w:t>
      </w:r>
      <w:r>
        <w:rPr>
          <w:u w:val="single"/>
        </w:rPr>
        <w:t xml:space="preserve">"CDT 2025: Current Dental Terminology, Copyright© 2024 American Dental Association".</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July 11, 2025</w:t>
      </w:r>
    </w:p>
    <w:p>
      <w:pPr>
        <w:pStyle w:val="kar_filed"/>
      </w:pPr>
      <w:r>
        <w:t xml:space="preserve">FILED WITH LRC: July 15, 2025 at 11:45 a.m.</w:t>
      </w:r>
    </w:p>
    <w:p>
      <w:pPr>
        <w:pStyle w:val="kar_normal"/>
      </w:pPr>
      <w:r>
        <w:t xml:space="preserve"/>
      </w:r>
    </w:p>
    <w:p>
      <w:pPr>
        <w:pStyle w:val="kar_comment_period"/>
      </w:pPr>
      <w:r>
        <w:t xml:space="preserve">PUBLIC HEARING AND PUBLIC COMMENT PERIOD: A public hearing on this administrative regulation shall be held on September 24, 2025 at 4:00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dental hygiene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dental hygienists.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dental hygienist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dental hygiene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practice of public health dental hygiene.</w:t>
      </w:r>
    </w:p>
    <w:p>
      <w:pPr>
        <w:pStyle w:val="kar_normal"/>
        <w:ind w:left="576"/>
      </w:pPr>
      <w:r>
        <w:t xml:space="preserve">(b) The necessity of the amendment to this administrative regulation:</w:t>
      </w:r>
    </w:p>
    <w:p>
      <w:pPr>
        <w:pStyle w:val="kar_normal"/>
        <w:ind w:left="720"/>
      </w:pPr>
      <w:r>
        <w:t xml:space="preserve">The amendment is necessary to clarify details about the practice of public health dental hygiene.</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dental hygiene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will clarify the practice of public health hygiene, making the licensure process more efficient and effective for both board staff and potential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primarily affect the approximately 3,000 licensed dental hygienists in Kentucky as well as any new applicants for licensure and, indirectly, the patients of licensed dental hygienists.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 The vast majority of those affected by the existing regulation will not be further affected by the proposed revision.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specifically enumerate costs, which are already established in 201 KAR 8:520.</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result in a healthier patient population and the avoidance of potentially costly violations of applicable law and administrative regulations by licensed dental hygienists.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Licensure fees are used to fund the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(9)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administrative costs generated by this amendment.</w:t>
      </w:r>
    </w:p>
    <w:p>
      <w:pPr>
        <w:pStyle w:val="kar_normal"/>
        <w:ind w:left="864"/>
      </w:pPr>
      <w:r>
        <w:t xml:space="preserve">For subsequent years:</w:t>
      </w:r>
      <w:r>
        <w:t xml:space="preserve"> There will be no additional administrative costs generated by this amendment.</w:t>
      </w:r>
    </w:p>
    <w:p>
      <w:pPr>
        <w:pStyle w:val="kar_normal"/>
        <w:ind w:left="576"/>
      </w:pPr>
      <w:r>
        <w:t xml:space="preserve">2. Revenues:</w:t>
      </w:r>
    </w:p>
    <w:p>
      <w:pPr>
        <w:pStyle w:val="kar_normal"/>
        <w:ind w:left="864"/>
      </w:pPr>
      <w:r>
        <w:t xml:space="preserve">For the first year:</w:t>
      </w:r>
      <w:r>
        <w:t xml:space="preserve"> This amendment does not alter the existing revenue generated by dental hygiene licensure, which is approximately $400,000 every fiscal biennium.</w:t>
      </w:r>
    </w:p>
    <w:p>
      <w:pPr>
        <w:pStyle w:val="kar_normal"/>
        <w:ind w:left="864"/>
      </w:pPr>
      <w:r>
        <w:t xml:space="preserve">For subsequent years:</w:t>
      </w:r>
      <w:r>
        <w:t xml:space="preserve"> This amendment does not alter the existing revenue generated by dental hygiene licensure, which is approximately $400,000 every fiscal biennium.</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currently affect any local entities but may impact any entities that are authorized by the General Assembly in the future to provide public health hygiene services.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establish specific fee amounts, which are contained in a separate administrative regulation; however, the revenue generated from dental hygiene licensure is approximately $400,000 every fiscal biennium and will not change as a result of this amendment. Expenditures specifically related to this administrative regulation are difficult to determine due to indirect personnel and overhead costs; however, total agency expenditures are approximately $900,000 every fiscal biennium.</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does not directly have a major economic impact as it does not contain specific fee amounts. When administered in conjunction with the current fees established elsewhere, it impacts the dental health community by approximately $400,000 per year, primarily from licensure fees.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3a81fb2c64a57" /><Relationship Type="http://schemas.openxmlformats.org/officeDocument/2006/relationships/settings" Target="/word/settings.xml" Id="R4506281051624b55" /></Relationships>
</file>