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73efa0394b4f70" /></Relationships>
</file>

<file path=word/document.xml><?xml version="1.0" encoding="utf-8"?>
<w:document xmlns:w="http://schemas.openxmlformats.org/wordprocessingml/2006/main">
  <w:body>
    <w:p>
      <w:pPr>
        <w:pStyle w:val="kar_citation"/>
      </w:pPr>
      <w:r>
        <w:t>201 KAR 18:081.</w:t>
      </w:r>
      <w:r>
        <w:t xml:space="preserve"> </w:t>
      </w:r>
      <w:r>
        <w:t xml:space="preserve">Repeal of 201 KAR 18:080.</w:t>
      </w:r>
    </w:p>
    <w:p>
      <w:pPr>
        <w:pStyle w:val="kar_markup_metadata"/>
      </w:pPr>
      <w:r>
        <w:t xml:space="preserve">RELATES TO: </w:t>
      </w:r>
      <w:r>
        <w:t xml:space="preserve">KRS 322.110, 322.120, 322.160, 322.170, 322.220</w:t>
      </w:r>
    </w:p>
    <w:p>
      <w:pPr>
        <w:pStyle w:val="kar_markup_metadata"/>
      </w:pPr>
      <w:r>
        <w:t xml:space="preserve">STATUTORY AUTHORITY: </w:t>
      </w:r>
      <w:r>
        <w:t xml:space="preserve">KRS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322.290(4) authorizes the board to promulgate administrative regulations necessary for the proper performance of its duties. KRS 322.110(1) requires the board to issue a license authorizing the practice of engineering or land surveying to an applicant who meets the requirements of KRS Chapter 322. This administrative regulation repeals the administrative regulation requiring the physical display of a professional engineer or professional land surveyor license that has been issued by the Board. This repeal is necessary as the physical display of a licensee's professional engineer or professional land surveyor license in the licensee's place of business is outdated and no longer necessary for the proper performance of the Board's duties.</w:t>
      </w:r>
    </w:p>
    <w:p>
      <w:pPr>
        <w:pStyle w:val="kar_section"/>
      </w:pPr>
      <w:r>
        <w:t xml:space="preserve">Section 1.</w:t>
      </w:r>
      <w:r>
        <w:t xml:space="preserve"> </w:t>
      </w:r>
      <w:r>
        <w:t xml:space="preserve">201 KAR 18:080, Display of licenses,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018:081 repealed :080;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f14b74abc54de7" /><Relationship Type="http://schemas.openxmlformats.org/officeDocument/2006/relationships/settings" Target="/word/settings.xml" Id="Rc6b0de0f696c40ed" /></Relationships>
</file>