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ca53dda94b4498" /></Relationships>
</file>

<file path=word/document.xml><?xml version="1.0" encoding="utf-8"?>
<w:document xmlns:w="http://schemas.openxmlformats.org/wordprocessingml/2006/main">
  <w:body>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should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then such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then such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such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such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such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June 2025;</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June 2025;</w:t>
      </w:r>
    </w:p>
    <w:p>
      <w:pPr>
        <w:pStyle w:val="kar_paragraph"/>
      </w:pPr>
      <w:r>
        <w:t xml:space="preserve">(d)</w:t>
      </w:r>
      <w:r>
        <w:t xml:space="preserve"> </w:t>
      </w:r>
      <w:r>
        <w:t xml:space="preserve">"Amendment Request Form", June 2025; and</w:t>
      </w:r>
    </w:p>
    <w:p>
      <w:pPr>
        <w:pStyle w:val="kar_paragraph"/>
      </w:pPr>
      <w:r>
        <w:t xml:space="preserve">(e)</w:t>
      </w:r>
      <w:r>
        <w:t xml:space="preserve"> </w:t>
      </w:r>
      <w:r>
        <w:t xml:space="preserve">"Special Education Maximum Class Size Request Form", June 2025.</w:t>
      </w:r>
    </w:p>
    <w:p>
      <w:pPr>
        <w:pStyle w:val="kar_subsection"/>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74c2028574bf7" /><Relationship Type="http://schemas.openxmlformats.org/officeDocument/2006/relationships/settings" Target="/word/settings.xml" Id="R2a5ee1f37a7d4d0e" /></Relationships>
</file>