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08821cadd43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2:210.</w:t>
      </w:r>
      <w:r>
        <w:t xml:space="preserve"> </w:t>
      </w:r>
      <w:r>
        <w:t xml:space="preserve">Patient records and patient counseling.</w:t>
      </w:r>
    </w:p>
    <w:p>
      <w:pPr>
        <w:pStyle w:val="kar_markup_metadata"/>
      </w:pPr>
      <w:r>
        <w:t xml:space="preserve">RELATES TO: </w:t>
      </w:r>
      <w:r>
        <w:t xml:space="preserve">KRS 315.191(1), (5), (6), 42 C.F.R. Part 456</w:t>
      </w:r>
    </w:p>
    <w:p>
      <w:pPr>
        <w:pStyle w:val="kar_markup_metadata"/>
      </w:pPr>
      <w:r>
        <w:t xml:space="preserve">STATUTORY AUTHORITY: </w:t>
      </w:r>
      <w:r>
        <w:t xml:space="preserve">KRS 217.215(2), 315.191(1), (5), 42 C.F.R. Part 456</w:t>
      </w:r>
    </w:p>
    <w:p>
      <w:pPr>
        <w:pStyle w:val="kar_markup_metadata"/>
      </w:pPr>
      <w:r>
        <w:t xml:space="preserve">NECESSITY, FUNCTION, AND CONFORMITY: </w:t>
      </w:r>
      <w:r>
        <w:t xml:space="preserve">KRS 315.191(1), (56), 42 CFR Part 456 mandates that pharmacists implement drug utilization reviews and provide patient counseling to those recipients of health-care benefits for which federal funds are allocated. This administrative regulation provides for this mechanism and broadens its magnitude by rendering this valuable service available to all Kentucky's citizenry, equitably.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Patient Records.</w:t>
      </w:r>
    </w:p>
    <w:p>
      <w:pPr>
        <w:pStyle w:val="kar_subsection"/>
      </w:pPr>
      <w:r>
        <w:t xml:space="preserve">(1)</w:t>
      </w:r>
      <w:r>
        <w:t xml:space="preserve"> 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patient record system shall, with the exercise of professional judgment, be maintained by a pharmacy for patients for whom prescriptive drug orders are dispensed at that pharmacy location.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pharmacist, with the exercise of professional judgment, shall establish a procedure for obtaining, recording, and maintaining information required for a patient record.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pharmacist, or his designee, shall obtain, record, and maintain the information for a patient record.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patient record shall: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Be readily retrievable by manual or electronic means;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Enable the pharmacist to identify previously dispensed drugs and known disease conditions;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Enable the pharmacist to determine the impact of previously dispensed drugs and known disease conditions upon the newly submitted prescriptive drug order; and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Be maintained for not less than 180 days from the date of the last entry.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patient record shall include: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Full name of patient for whom the drug is intended;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Address and telephone number of the patient;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Patient's age or date of birth;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Patient's gender;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A list of all prescriptions obtained by the patient at that pharmacy location for the past twelve (12) months by: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Prescription number;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Name and strength of medication;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Quantity;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Date received;</w:t>
      </w:r>
    </w:p>
    <w:p>
      <w:pPr>
        <w:pStyle w:val="kar_subparagraph"/>
      </w:pPr>
      <w:r>
        <w:t xml:space="preserve">5.</w:t>
      </w:r>
      <w:r>
        <w:t xml:space="preserve"> </w:t>
      </w:r>
      <w:r>
        <w:t xml:space="preserve">Identity of prescriber; and</w:t>
      </w:r>
    </w:p>
    <w:p>
      <w:pPr>
        <w:pStyle w:val="kar_subparagraph"/>
      </w:pPr>
      <w:r>
        <w:t xml:space="preserve">6.</w:t>
      </w:r>
      <w:r>
        <w:t xml:space="preserve"> </w:t>
      </w:r>
      <w:r>
        <w:t xml:space="preserve">Comments or other information as may be relevant to the specific patient or drug; and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Individual medical history if significant, including known disease states, known allergies, idiosyncrasies, reactions or conditions relating to prospective drug use and drug regimen reviews.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Patient Counseling.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pharmacist shall offer to counsel a patient on matters which he believes will optimize drug therapy with each patient or caregiver: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Upon the presentation of an original prescription order;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On refill prescriptions, as professional discretion dictates.</w:t>
      </w:r>
    </w:p>
    <w:p>
      <w:pPr>
        <w:pStyle w:val="kar_subsection"/>
      </w:pPr>
      <w:r>
        <w:t xml:space="preserve">(2)</w:t>
      </w:r>
      <w:r>
        <w:t xml:space="preserve"> 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offer shall be made by the pharmacist in a face-to-face communication with the patient or caregiver, unless, in the professional judgment of the pharmacist, it is deemed impractical or inappropriate.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deemed impractical or inappropriate, the offer to counsel may be made: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By the pharmacist designee;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In written communication;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By telephone through access to a telephone service that is toll-free for long distance calls, unless the primary patient population is accessible through a local, measured, or toll-free exchange; or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In another manner determined by the pharmacist to be appropriate.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Patient counseling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 person when practical;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With reasonable effort, by telephone.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pharmacist shall include the following elements of patient counseling that he has determined are appropriate: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name and description of the drug;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dosage form, dose, route of administration, and duration of therapy;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Special directions and precautions;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Common and clinically significant adverse effects, interactions, or contraindications that may be encountered, including their avoidance and the action required should they occur;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Techniques for self-monitoring of drug therapy;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Proper storage;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Refill information;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Action to be taken in event of a missed dose;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His comments relevant to the individual's therapy; and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Any other information peculiar to the specific patient or drug.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If a pharmacist determines that it is appropriate, he may supplement patient counseling with additional forms of patient information, such as: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Written or printed information leaflets;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Pictogram labels;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Video programs.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Mail-order pharmacies shall be subject to the same counseling requirements as any other pharmacy.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Confidentiality.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patient record shall be held in confidence.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It shall be communicated or released: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To the patient;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As the patient directs;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As prudent, professional discretion dictates.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Prospective Drug Use Review.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prospective drug use review shall be conducted by a pharmacist prior to dispensing.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It shall include an assessment of a patient's drug therapy and the prescription order.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prospective drug use review shall include a review by the pharmacist of the following: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Known allergies;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Rationale for use;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Proper dose, route of administration, and directions;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Synergism with currently employed modalities;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Interaction or adverse reaction with applicable: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Drugs;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Foods; or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Known disease states;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Proper utilization for optimum therapeutic outcomes; and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Clinical misuse or abuse.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Documentation of Counseling.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record that the patient refused the pharmacist's offer to counsel shall be maintained for one (1) year.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there is no record that the patient refused the pharmacist's offer to counsel, there shall be a presumption that: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offer to counsel, as required in Section 2 of this administrative regulation, was made and accepted;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counseling was provided.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The provisions of this administrative regulation shall not apply: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To inpatients of a hospital or institution, if other licensed health-care professionals are authorized to administer the drugs; or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there is documentation that the patient or caregiver refused consultation.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(19 Ky.R. 1694; eff. 2-17-1993; Crt eff. 4-17-2019.)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ec8eb958484fbd" /><Relationship Type="http://schemas.openxmlformats.org/officeDocument/2006/relationships/settings" Target="/word/settings.xml" Id="R45aab454aecf43ca" /></Relationships>
</file>