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18edb8b35b49a0" /></Relationships>
</file>

<file path=word/document.xml><?xml version="1.0" encoding="utf-8"?>
<w:document xmlns:w="http://schemas.openxmlformats.org/wordprocessingml/2006/main">
  <w:body>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administrative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permit"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applicant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gases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for medical gases on either the Application for Special Limited Pharmacy Permit- Medical Gas or the Application for Special Limited Pharmacy Permit – Medical Gas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May 2020; and</w:t>
      </w:r>
    </w:p>
    <w:p>
      <w:pPr>
        <w:pStyle w:val="kar_paragraph"/>
      </w:pPr>
      <w:r>
        <w:t xml:space="preserve">(b)</w:t>
      </w:r>
      <w:r>
        <w:t xml:space="preserve"> </w:t>
      </w:r>
      <w:r>
        <w:t xml:space="preserve">"Application for Special Limited Pharmacy Permit – Medical Gas Renewal", May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4021; 24 Ky.R. 329; eff. 7-16-1997; 45 Ky.R. 3456, 46 Ky.R. 412; eff. 8-19-2019; 47 Ky.R. 362, 1366;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386412aa94549" /><Relationship Type="http://schemas.openxmlformats.org/officeDocument/2006/relationships/settings" Target="/word/settings.xml" Id="R8c2027cd28c1417f" /></Relationships>
</file>