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ffc5b014344a17" /></Relationships>
</file>

<file path=word/document.xml><?xml version="1.0" encoding="utf-8"?>
<w:document xmlns:w="http://schemas.openxmlformats.org/wordprocessingml/2006/main">
  <w:body>
    <w:p>
      <w:pPr>
        <w:pStyle w:val="kar_citation"/>
      </w:pPr>
      <w:r>
        <w:t>201 KAR 17:120.</w:t>
      </w:r>
      <w:r>
        <w:t xml:space="preserve"> </w:t>
      </w:r>
      <w:r>
        <w:t xml:space="preserve">Audiology and Speech-Language Pathology Interstate Compact.</w:t>
      </w:r>
    </w:p>
    <w:p>
      <w:pPr>
        <w:pStyle w:val="kar_markup_metadata"/>
      </w:pPr>
      <w:r>
        <w:t xml:space="preserve">RELATES TO: </w:t>
      </w:r>
      <w:r>
        <w:t xml:space="preserve">KRS 334A.188</w:t>
      </w:r>
    </w:p>
    <w:p>
      <w:pPr>
        <w:pStyle w:val="kar_markup_metadata"/>
      </w:pPr>
      <w:r>
        <w:t xml:space="preserve">STATUTORY AUTHORITY: </w:t>
      </w:r>
      <w:r>
        <w:t xml:space="preserve">KRS 334A.080(3), 334A.188</w:t>
      </w:r>
    </w:p>
    <w:p>
      <w:pPr>
        <w:pStyle w:val="kar_markup_metadata"/>
      </w:pPr>
      <w:r>
        <w:t xml:space="preserve">NECESSITY, FUNCTION, AND CONFORMITY: </w:t>
      </w:r>
      <w:r>
        <w:t xml:space="preserve">KRS 334A.188, Section 15.B.1. requires the Board of Speech-Language Pathology and Audiology to review any rule adopted by the Audiology and Speech-Language Pathology Interstate Compact pursuant to Section 10 of KRS 334A.188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Audiology and Speech-Language Pathology Interstate Compact.</w:t>
      </w:r>
    </w:p>
    <w:p>
      <w:pPr>
        <w:pStyle w:val="kar_section"/>
      </w:pPr>
      <w:r>
        <w:t xml:space="preserve">Section 1.</w:t>
      </w:r>
      <w:r>
        <w:t xml:space="preserve"> </w:t>
      </w:r>
      <w:r>
        <w:t xml:space="preserve">The Board of Speech-Language Pathology and Audiology shall comply with all rules of the Audiology and Speech-Language Pathology Interstate Compact, which includes the Audiology and Speech-Language Pathology Interstate Compact Rules as of June 30,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Audiology and Speech-Language Pathology Interstate Compact Rules", June 30, 2025, and as revised.</w:t>
      </w:r>
    </w:p>
    <w:p>
      <w:pPr>
        <w:pStyle w:val="kar_paragraph"/>
      </w:pPr>
      <w:r>
        <w:t xml:space="preserve">(a)</w:t>
      </w:r>
      <w:r>
        <w:t xml:space="preserve"> </w:t>
      </w:r>
      <w:r>
        <w:t xml:space="preserve">Chapter 1 – Rule on Definitions, adopted April 17, 2023;</w:t>
      </w:r>
    </w:p>
    <w:p>
      <w:pPr>
        <w:pStyle w:val="kar_paragraph"/>
      </w:pPr>
      <w:r>
        <w:t xml:space="preserve">(b)</w:t>
      </w:r>
      <w:r>
        <w:t xml:space="preserve"> </w:t>
      </w:r>
      <w:r>
        <w:t xml:space="preserve">Chapter 2 – Rule on Data System Reporting Requirements, adopted April 17, 2023; and</w:t>
      </w:r>
    </w:p>
    <w:p>
      <w:pPr>
        <w:pStyle w:val="kar_paragraph"/>
      </w:pPr>
      <w:r>
        <w:t xml:space="preserve">(c)</w:t>
      </w:r>
      <w:r>
        <w:t xml:space="preserve"> </w:t>
      </w:r>
      <w:r>
        <w:t xml:space="preserve">Chapter 3 – Rule on Implementation of Criminal Background Check Requirement, adopted October 7, 2023.</w:t>
      </w:r>
    </w:p>
    <w:p>
      <w:pPr>
        <w:pStyle w:val="kar_paragraph"/>
      </w:pPr>
      <w:r>
        <w:t xml:space="preserve">(d)</w:t>
      </w:r>
      <w:r>
        <w:t xml:space="preserve"> </w:t>
      </w:r>
      <w:r>
        <w:t xml:space="preserve">Chapter 4 – Rulemaking on Fees, adopted June 30,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Speech-Language Pathology and Audiology, 500 Mero Street, 2 SC 32, Frankfort, Kentucky 40602, Monday through Friday, 8 a.m. to 4:30 p.m.; or</w:t>
      </w:r>
    </w:p>
    <w:p>
      <w:pPr>
        <w:pStyle w:val="kar_paragraph"/>
      </w:pPr>
      <w:r>
        <w:t xml:space="preserve">(b)</w:t>
      </w:r>
      <w:r>
        <w:t xml:space="preserve"> </w:t>
      </w:r>
      <w:r>
        <w:t xml:space="preserve">This material may also be obtained on the Board of Speech-Language Pathology and Audiology Web site at https://slp.ky.gov/.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Audiology and Speech-Language Pathology Interstate Compact Commission, 1776 Avenue of the States, Lexington, Kentucky 40511; or</w:t>
      </w:r>
    </w:p>
    <w:p>
      <w:pPr>
        <w:pStyle w:val="kar_paragraph"/>
      </w:pPr>
      <w:r>
        <w:t xml:space="preserve">(b)</w:t>
      </w:r>
      <w:r>
        <w:t xml:space="preserve"> </w:t>
      </w:r>
      <w:r>
        <w:t xml:space="preserve">https://aslpcompact.com/commission/commission-governance-documents/.</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aabd41d7a04359" /><Relationship Type="http://schemas.openxmlformats.org/officeDocument/2006/relationships/settings" Target="/word/settings.xml" Id="R94dd3383bc74467a" /></Relationships>
</file>