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6c5063025149d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Speech-Language Pathology and Audiology</w:t>
      </w:r>
    </w:p>
    <w:p>
      <w:pPr>
        <w:pStyle w:val="kar_markup_header"/>
        <w:ind w:firstLine="0"/>
      </w:pPr>
      <w:r>
        <w:t>(Amendment)</w:t>
      </w:r>
    </w:p>
    <w:p>
      <w:pPr>
        <w:pStyle w:val="kar_citation"/>
      </w:pPr>
      <w:r>
        <w:t>201 KAR 17:120.</w:t>
      </w:r>
      <w:r>
        <w:t xml:space="preserve"> </w:t>
      </w:r>
      <w:r>
        <w:t xml:space="preserve">Audiology and Speech-Language Pathology Interstate Compact.</w:t>
      </w:r>
    </w:p>
    <w:p>
      <w:pPr>
        <w:pStyle w:val="kar_markup_metadata"/>
      </w:pPr>
      <w:r>
        <w:t xml:space="preserve">RELATES TO: </w:t>
      </w:r>
      <w:r>
        <w:t xml:space="preserve">KRS 334A.188</w:t>
      </w:r>
    </w:p>
    <w:p>
      <w:pPr>
        <w:pStyle w:val="kar_markup_metadata"/>
      </w:pPr>
      <w:r>
        <w:t xml:space="preserve">STATUTORY AUTHORITY: </w:t>
      </w:r>
      <w:r>
        <w:t xml:space="preserve">KRS 334A.080(3), 334A.188</w:t>
      </w:r>
    </w:p>
    <w:p>
      <w:pPr>
        <w:pStyle w:val="kar_markup_metadata"/>
      </w:pPr>
      <w:r>
        <w:t xml:space="preserve">NECESSITY, FUNCTION, AND CONFORMITY: </w:t>
      </w:r>
      <w:r>
        <w:t xml:space="preserve">KRS 334A.188, Section 15.B.1. requires the Board of Speech-Language Pathology and Audiology to review any rule adopted by the Audiology and Speech-Language Pathology Interstate Compact pursuant to Section 10 of KRS 334A.188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Audiology and Speech-Language Pathology Interstate Compact.</w:t>
      </w:r>
    </w:p>
    <w:p>
      <w:pPr>
        <w:pStyle w:val="kar_section"/>
      </w:pPr>
      <w:r>
        <w:t xml:space="preserve">Section 1.</w:t>
      </w:r>
      <w:r>
        <w:t xml:space="preserve"> </w:t>
      </w:r>
      <w:r>
        <w:t xml:space="preserve">The Board of Speech-Language Pathology and Audiology shall comply with all rules of the Audiology and Speech-Language Pathology Interstate Compact, which includes the Audiology and Speech-Language Pathology Interstate Compact Rules as of </w:t>
      </w:r>
      <w:r>
        <w:rPr>
          <w:u w:val="single"/>
        </w:rPr>
        <w:t xml:space="preserve">June 30, 2025</w:t>
      </w:r>
      <w:r>
        <w:t>[</w:t>
      </w:r>
      <w:r>
        <w:rPr>
          <w:strike w:val="true"/>
        </w:rPr>
        <w:t xml:space="preserve">October 7, 2023</w:t>
      </w:r>
      <w:r>
        <w:t>]</w:t>
      </w:r>
      <w:r>
        <w:t xml:space="preser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Audiology and Speech-Language Pathology Interstate Compact Rules", </w:t>
      </w:r>
      <w:r>
        <w:rPr>
          <w:u w:val="single"/>
        </w:rPr>
        <w:t xml:space="preserve">June 30, 2025</w:t>
      </w:r>
      <w:r>
        <w:t>[</w:t>
      </w:r>
      <w:r>
        <w:rPr>
          <w:strike w:val="true"/>
        </w:rPr>
        <w:t xml:space="preserve">October 7, 2023</w:t>
      </w:r>
      <w:r>
        <w:t>]</w:t>
      </w:r>
      <w:r>
        <w:t xml:space="preserve">, and as revised.</w:t>
      </w:r>
    </w:p>
    <w:p>
      <w:pPr>
        <w:pStyle w:val="kar_paragraph"/>
      </w:pPr>
      <w:r>
        <w:t xml:space="preserve">(a)</w:t>
      </w:r>
      <w:r>
        <w:t xml:space="preserve"> </w:t>
      </w:r>
      <w:r>
        <w:t xml:space="preserve">Chapter 1 – Rule on Definitions, adopted April 17, 2023;</w:t>
      </w:r>
    </w:p>
    <w:p>
      <w:pPr>
        <w:pStyle w:val="kar_paragraph"/>
      </w:pPr>
      <w:r>
        <w:t xml:space="preserve">(b)</w:t>
      </w:r>
      <w:r>
        <w:t xml:space="preserve"> </w:t>
      </w:r>
      <w:r>
        <w:t xml:space="preserve">Chapter 2 – Rule on Data System Reporting Requirements, adopted April 17, 2023; and</w:t>
      </w:r>
    </w:p>
    <w:p>
      <w:pPr>
        <w:pStyle w:val="kar_paragraph"/>
      </w:pPr>
      <w:r>
        <w:t xml:space="preserve">(c)</w:t>
      </w:r>
      <w:r>
        <w:t xml:space="preserve"> </w:t>
      </w:r>
      <w:r>
        <w:t xml:space="preserve">Chapter 3 – Rule on Implementation of Criminal Background Check Requirement, adopted October 7, 2023.</w:t>
      </w:r>
    </w:p>
    <w:p>
      <w:pPr>
        <w:pStyle w:val="kar_paragraph"/>
      </w:pPr>
      <w:r>
        <w:rPr>
          <w:u w:val="single"/>
        </w:rPr>
        <w:t xml:space="preserve">(d)</w:t>
      </w:r>
      <w:r>
        <w:t xml:space="preserve"> </w:t>
      </w:r>
      <w:r>
        <w:rPr>
          <w:u w:val="single"/>
        </w:rPr>
        <w:t xml:space="preserve">Chapter 4 – Rulemaking on Fees, adopted June 30,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Speech-Language Pathology and Audiology, 500 Mero Street, 2 SC 32, Frankfort, Kentucky 40602, Monday through Friday, 8 a.m. to 4:30 p.m.; or</w:t>
      </w:r>
    </w:p>
    <w:p>
      <w:pPr>
        <w:pStyle w:val="kar_paragraph"/>
      </w:pPr>
      <w:r>
        <w:t xml:space="preserve">(b)</w:t>
      </w:r>
      <w:r>
        <w:t xml:space="preserve"> </w:t>
      </w:r>
      <w:r>
        <w:t xml:space="preserve">This material may also be obtained on the Board of Speech-Language Pathology and Audiology Web site at https://slp.ky.gov/.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Audiology and Speech-Language Pathology Interstate Compact Commission, 1776 Avenue of the States, Lexington, Kentucky 40511; or</w:t>
      </w:r>
    </w:p>
    <w:p>
      <w:pPr>
        <w:pStyle w:val="kar_paragraph"/>
      </w:pPr>
      <w:r>
        <w:t xml:space="preserve">(b)</w:t>
      </w:r>
      <w:r>
        <w:t xml:space="preserve"> </w:t>
      </w:r>
      <w:r>
        <w:t xml:space="preserve">https://aslpcompact.com/commission/commission-governance-documents/.</w:t>
      </w:r>
    </w:p>
    <w:p>
      <w:pPr>
        <w:pStyle w:val="kar_signature"/>
      </w:pPr>
      <w:r>
        <w:t xml:space="preserve">JENNIFER LUTES, M.S., SLP, Chair</w:t>
      </w:r>
    </w:p>
    <w:p>
      <w:pPr>
        <w:pStyle w:val="kar_normal"/>
      </w:pPr>
      <w:r>
        <w:t xml:space="preserve"/>
      </w:r>
    </w:p>
    <w:p>
      <w:pPr>
        <w:pStyle w:val="kar_approved_by"/>
      </w:pPr>
      <w:r>
        <w:t xml:space="preserve">APPROVED BY AGENCY: August 26, 2025</w:t>
      </w:r>
    </w:p>
    <w:p>
      <w:pPr>
        <w:pStyle w:val="kar_filed"/>
      </w:pPr>
      <w:r>
        <w:t xml:space="preserve">FILED WITH LRC: August 26, 2025 at 4:25 p.m.</w:t>
      </w:r>
    </w:p>
    <w:p>
      <w:pPr>
        <w:pStyle w:val="kar_normal"/>
      </w:pPr>
      <w:r>
        <w:t xml:space="preserve"/>
      </w:r>
    </w:p>
    <w:p>
      <w:pPr>
        <w:pStyle w:val="kar_comment_period"/>
      </w:pPr>
      <w:r>
        <w:t xml:space="preserve">PUBLIC HEARING AND PUBLIC COMMENT PERIOD: A public hearing on this administrative regulation shall be held on November 25, 2025, at 2:00 p.m. Eastern Time, at the Mayo-Underwood Building, 500 Mero Street, Frankfort, Kentucky in PPC Conference Room 127 CW.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https://ppc.ky.gov/reg_comment.aspx or the contact person.</w:t>
      </w:r>
    </w:p>
    <w:p>
      <w:pPr>
        <w:pStyle w:val="kar_contact_person"/>
      </w:pPr>
      <w:r>
        <w:t xml:space="preserve">CONTACT PERSON: Sara Boswell Janes, Staff Attorney III, Department of Professional Licensing, Office of Legal Services, 500 Mero Street, 2 NC WK#2, Frankfort, Kentucky 40601; phone (502) 782-2709 (office),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0"/>
      </w:pPr>
      <w:r>
        <w:t xml:space="preserve">Subject Headings:</w:t>
      </w:r>
      <w:r>
        <w:t xml:space="preserve"> Speech-Language Pathology, Audiology, Compacts, Interstate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implements KRS 334A.188, the Audiology and Speech-Language Pathology Interstate Compact (“ASLP-IC”).</w:t>
      </w:r>
    </w:p>
    <w:p>
      <w:pPr>
        <w:pStyle w:val="kar_normal"/>
        <w:ind w:left="576"/>
      </w:pPr>
      <w:r>
        <w:t xml:space="preserve">(b) The necessity of this administrative regulation:</w:t>
      </w:r>
    </w:p>
    <w:p>
      <w:pPr>
        <w:pStyle w:val="kar_normal"/>
        <w:ind w:left="720"/>
      </w:pPr>
      <w:r>
        <w:t xml:space="preserve">This administrative regulation is necessary because KRS 334A.188, SECTION 15.B.1. requires rules adopted by the Audiology and Speech-Language Pathology Interstate Compact to be promulgated as administrative regulations pursuant to KRS Chapter 13A.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specific requirements of the authorizing statute, KRS 334A.188, SECTION 15.B.1. which requires rules adopted by the ASLP-IC to be promulgated as administrative regulations pursuant to KRS Chapter 13A.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conforms to the content of KRS 334A.188 which requires this promulgation.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add a new rule on fees, as adopted by the ASLP-IC on June 30, 2025.</w:t>
      </w:r>
    </w:p>
    <w:p>
      <w:pPr>
        <w:pStyle w:val="kar_normal"/>
        <w:ind w:left="576"/>
      </w:pPr>
      <w:r>
        <w:t xml:space="preserve">(b) The necessity of the amendment to this administrative regulation:</w:t>
      </w:r>
    </w:p>
    <w:p>
      <w:pPr>
        <w:pStyle w:val="kar_normal"/>
        <w:ind w:left="720"/>
      </w:pPr>
      <w:r>
        <w:t xml:space="preserve">This amendment is necessary to meet the statutory requirements of KRS 334A.188, SECTION 15.B.1. which requires rules adopted by the ASLP-IC to be promulgated as administrative regulations pursuant to KRS Chapter 13A.</w:t>
      </w:r>
    </w:p>
    <w:p>
      <w:pPr>
        <w:pStyle w:val="kar_normal"/>
        <w:ind w:left="576"/>
      </w:pPr>
      <w:r>
        <w:t xml:space="preserve">(c) How the amendment conforms to the content of the authorizing statutes:</w:t>
      </w:r>
    </w:p>
    <w:p>
      <w:pPr>
        <w:pStyle w:val="kar_normal"/>
        <w:ind w:left="720"/>
      </w:pPr>
      <w:r>
        <w:t xml:space="preserve">The amendment conforms with the authorizing statute by being filed within the sixty (60) day period after adoption of the new rule by the ASLP-IC.</w:t>
      </w:r>
    </w:p>
    <w:p>
      <w:pPr>
        <w:pStyle w:val="kar_normal"/>
        <w:ind w:left="576"/>
      </w:pPr>
      <w:r>
        <w:t xml:space="preserve">(d) How the amendment will assist in the effective administration of the statutes:</w:t>
      </w:r>
    </w:p>
    <w:p>
      <w:pPr>
        <w:pStyle w:val="kar_normal"/>
        <w:ind w:left="720"/>
      </w:pPr>
      <w:r>
        <w:t xml:space="preserve">The amendment will put all licensees who wish to participate in the ASLP-IC the cost of the application for the privilege to practice.</w:t>
      </w:r>
    </w:p>
    <w:p>
      <w:pPr>
        <w:pStyle w:val="kar_normal"/>
        <w:ind w:left="288"/>
      </w:pPr>
      <w:r>
        <w:t xml:space="preserve">(3) Does this administrative regulation or amendment implement legislation from the previous five years?</w:t>
      </w:r>
      <w:r>
        <w:t xml:space="preserve"> Yes. 2021 Ky. Acts ch. 45, sec. 1, effective June 29,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the 4021 active and 102 inactive licensees in some capacity, and will also affect new applicants for licensure.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is necessary.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additional cost imposed by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They will be in compliance with the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credential holders and applicant.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state fees or funding will be required.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 in Kentucky. However, if a Kentucky licensee wishes to obtain the privilege to practice in another compact state, they will be required to pay an application fee to the ASLP-IC to obtain the privilege.</w:t>
      </w:r>
    </w:p>
    <w:p>
      <w:pPr>
        <w:pStyle w:val="kar_normal"/>
        <w:ind w:left="288"/>
      </w:pPr>
      <w:r>
        <w:t xml:space="preserve">(10) TIERING: Is tiering applied?</w:t>
      </w:r>
    </w:p>
    <w:p>
      <w:pPr>
        <w:pStyle w:val="kar_normal"/>
        <w:ind w:left="432"/>
      </w:pPr>
      <w:r>
        <w:t xml:space="preserve">Tiering was not applied as the changes apply to all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(1) Identify each state or federal statute or federal regulation that requires or authorizes the action taken by the administrative regulation: KRS 334A.080(3), 334A.188. Interstate compacts are specifically authorized under the federal constitution (Article 1, Section 10, Clause 3- the Compacts Clause) and take precedence over any conflicting state law pursuant to the Compacts Clause and the Con-tracts Clause, U.S. Constitution, Article 1, Section 10, Clause 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334A.188, Section 15.B.1.</w:t>
      </w:r>
    </w:p>
    <w:p>
      <w:pPr>
        <w:pStyle w:val="kar_normal"/>
        <w:ind w:left="288"/>
      </w:pPr>
      <w:r>
        <w:t xml:space="preserve">(3)(a) Identify the promulgating agency and any other affected state units, parts, or divisions:</w:t>
      </w:r>
    </w:p>
    <w:p>
      <w:pPr>
        <w:pStyle w:val="kar_normal"/>
        <w:ind w:left="432"/>
      </w:pPr>
      <w:r>
        <w:t xml:space="preserve">(a) The Kentucky Board of Speech-Language Pathology and Audiology is the promulgating agency and the only affected state unit, part or division.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compact may become operational in 2025, however, the expenditures needed in the first year are currently indeterminable. There will likely be some state expenditures necessary for data system programming, administering applications for compact privileges within and without the Commonwealth, as well as administering complaint and enforcement actions for those with the privilege to practice in Kentucky, and possibly for Kentucky licensees with the privilege to practice in other states.</w:t>
      </w:r>
    </w:p>
    <w:p>
      <w:pPr>
        <w:pStyle w:val="kar_normal"/>
        <w:ind w:left="864"/>
      </w:pPr>
      <w:r>
        <w:t xml:space="preserve">For subsequent years:</w:t>
      </w:r>
      <w:r>
        <w:t xml:space="preserve"> The expenditures needed in subsequent years are currently indeterminable. There will likely be some state expenditures necessary for data system programming, administering applications for compact privileges within and without the Commonwealth, as well as administering complaint and enforcement actions for those with the privilege to practice in Kentucky, and possibly for Kentucky licensees with the privilege to practice in other states.</w:t>
      </w:r>
    </w:p>
    <w:p>
      <w:pPr>
        <w:pStyle w:val="kar_normal"/>
        <w:ind w:left="576"/>
      </w:pPr>
      <w:r>
        <w:t xml:space="preserve">2. Revenues:</w:t>
      </w:r>
    </w:p>
    <w:p>
      <w:pPr>
        <w:pStyle w:val="kar_normal"/>
        <w:ind w:left="864"/>
      </w:pPr>
      <w:r>
        <w:t xml:space="preserve">For the first year:</w:t>
      </w:r>
      <w:r>
        <w:t xml:space="preserve"> The board will establish a fee for licensees in other states who wish to obtain a privilege to practice in Kentucky under the ASLP-IC to cover the cost of administration. However, at this time potential revenues are indeterminable.</w:t>
      </w:r>
    </w:p>
    <w:p>
      <w:pPr>
        <w:pStyle w:val="kar_normal"/>
        <w:ind w:left="864"/>
      </w:pPr>
      <w:r>
        <w:t xml:space="preserve">For subsequent years:</w:t>
      </w:r>
      <w:r>
        <w:t xml:space="preserve"> The board will also establish a renewal fee for out of state licensees who obtain the privilege to practice in Kentucky. However, at this time potential revenues are indeterminable.</w:t>
      </w:r>
    </w:p>
    <w:p>
      <w:pPr>
        <w:pStyle w:val="kar_normal"/>
        <w:ind w:left="576"/>
      </w:pPr>
      <w:r>
        <w:t xml:space="preserve">3. Cost Savings:</w:t>
      </w:r>
    </w:p>
    <w:p>
      <w:pPr>
        <w:pStyle w:val="kar_normal"/>
        <w:ind w:left="864"/>
      </w:pPr>
      <w:r>
        <w:t xml:space="preserve">For the first year:</w:t>
      </w:r>
      <w:r>
        <w:t xml:space="preserve"> Indeterminable.</w:t>
      </w:r>
    </w:p>
    <w:p>
      <w:pPr>
        <w:pStyle w:val="kar_normal"/>
        <w:ind w:left="864"/>
      </w:pPr>
      <w:r>
        <w:t xml:space="preserve">For subsequent years:</w:t>
      </w:r>
      <w:r>
        <w:t xml:space="preserve"> Indeterminable.</w:t>
      </w:r>
    </w:p>
    <w:p>
      <w:pPr>
        <w:pStyle w:val="kar_normal"/>
        <w:ind w:left="288"/>
      </w:pPr>
      <w:r>
        <w:t xml:space="preserve">(4)(a) Identify affected local entities (for example: cities, counties, fire departments, school districts):</w:t>
      </w:r>
    </w:p>
    <w:p>
      <w:pPr>
        <w:pStyle w:val="kar_normal"/>
        <w:ind w:left="432"/>
      </w:pPr>
      <w:r>
        <w:t xml:space="preserve">None anticipated.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 anticipated.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fiscal impact is currently indeterminable since there are no known duties outlined for the state in relation to the compact. It is possible there will be a fiscal impact for administering applications for compact privileges for in-state licensees who apply for the privilege to practice in another state, and for out of state licensees who apply for the privilege to practice in Kentucky. The ASLP-IC remains in its infancy and the work to be conducted by the state board as a result of the compact is yet to be determined.</w:t>
      </w:r>
    </w:p>
    <w:p>
      <w:pPr>
        <w:pStyle w:val="kar_normal"/>
        <w:ind w:left="288"/>
      </w:pPr>
      <w:r>
        <w:t xml:space="preserve">(b) Methodology and resources used to reach this conclusion:</w:t>
      </w:r>
    </w:p>
    <w:p>
      <w:pPr>
        <w:pStyle w:val="kar_normal"/>
        <w:ind w:left="432"/>
      </w:pPr>
      <w:r>
        <w:t xml:space="preserve">Methodology and resources used are the fiscal department within the Public Protection Cabinet, Department of Professional Services.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 Whether this administrative regulation will have a "major economic impact", as defined by KRS 13A.010(13): There are no known duties outlined for the state in relation to the compact; however, given the number of licensees, current budget and anticipated number of applications for in-state licensees to practice in another state and out of state licensees to obtain the privilege to practice in Kentucky, this administrative regulation will not have a major economic impact to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used are the fiscal department within the Public Protection Cabinet, Department of Professional Services.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c2d6d695dd4df1" /><Relationship Type="http://schemas.openxmlformats.org/officeDocument/2006/relationships/settings" Target="/word/settings.xml" Id="R5e37591450644a54" /></Relationships>
</file>