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6acb92f2874698"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55:015E.</w:t>
      </w:r>
    </w:p>
    <w:p>
      <w:pPr>
        <w:pStyle w:val="kar_normal"/>
      </w:pPr>
      <w:r>
        <w:t xml:space="preserve">This emergency amendment to an existing administrative regulation is necessary to designate bromazolam as a Schedule I controlled substance. Bromazolam has no known medical use and it mimics the effects of benzodiazepines. Bromazolam was detected in 48 overdose deaths in 2024, and has been designated a Schedule I controlled substance in Nevada, New Mexico, North Dakota, Virginia and West Virginia.</w:t>
      </w:r>
    </w:p>
    <w:p>
      <w:pPr>
        <w:pStyle w:val="kar_normal"/>
      </w:pPr>
      <w:r>
        <w:t xml:space="preserve">This emergency administrative regulation is deemed to be an emergency pursuant to KRS 13A.190(1)(a)1 in order to meet an imminent threat to public health, safety, and welfare. Although Bromazolam is not currently controlled under the federal Controlled Substances Act, it is being scheduled on a state-by-state basis and was recently designated as a schedule I controlled substance in five states, including Kentucky's bordering states of Virginia and West Virginia. Bromazolam is not approved by the US Food and Drug Administration (FDA) for any specific uses. Inclusion on Kentucky's Schedule I list will help reduce the risk to public health by making it illegal to possess bromazolam.</w:t>
      </w:r>
    </w:p>
    <w:p>
      <w:pPr>
        <w:pStyle w:val="kar_normal"/>
      </w:pPr>
      <w:r>
        <w:t xml:space="preserve">This emergency administrative regulation will be replaced by an ordinary administrative regulation.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STEVEN J. STACK, MD, MBA, Secretary</w:t>
      </w:r>
    </w:p>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(Emergency Amendment)</w:t>
      </w:r>
    </w:p>
    <w:p>
      <w:pPr>
        <w:pStyle w:val="kar_citation"/>
      </w:pPr>
      <w:r>
        <w:t>902 KAR 55:015E.</w:t>
      </w:r>
      <w:r>
        <w:t xml:space="preserve"> </w:t>
      </w:r>
      <w:r>
        <w:t xml:space="preserve">Schedules of controlled substances.</w:t>
      </w:r>
    </w:p>
    <w:p>
      <w:pPr>
        <w:pStyle w:val="kar_markup_metadata"/>
      </w:pPr>
      <w:r>
        <w:t xml:space="preserve">EFFECTIVE: August 26, 2025</w:t>
      </w:r>
    </w:p>
    <w:p>
      <w:pPr>
        <w:pStyle w:val="kar_markup_metadata"/>
      </w:pPr>
      <w:r>
        <w:t xml:space="preserve">RELATES TO: </w:t>
      </w:r>
      <w:r>
        <w:t xml:space="preserve">KRS 217.005-217.215, 218A.010, 218A.020, 218A.040, 218A.060, 218A.080, 218A.100, 218A.120, 218A.200, 21 C.F.R. 1308.11, 1308.12, 1308.13, 1308.14, 1308.15, 1308.35, 1308.49, 21 U.S.C. 301 – 399f</w:t>
      </w:r>
      <w:r>
        <w:t>[</w:t>
      </w:r>
      <w:r>
        <w:rPr>
          <w:strike w:val="true"/>
        </w:rPr>
        <w:t xml:space="preserve">, 801-971</w:t>
      </w:r>
      <w:r>
        <w:t>]</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This administrative regulation differs from the federal regulation, 21 C.F.R. 1308.11, because it designates tianeptine </w:t>
      </w:r>
      <w:r>
        <w:rPr>
          <w:u w:val="single"/>
        </w:rPr>
        <w:t xml:space="preserve">and bromazolam</w:t>
      </w:r>
      <w:r>
        <w:t xml:space="preserve"> as </w:t>
      </w:r>
      <w:r>
        <w:t>[</w:t>
      </w:r>
      <w:r>
        <w:rPr>
          <w:strike w:val="true"/>
        </w:rPr>
        <w:t xml:space="preserve">a </w:t>
      </w:r>
      <w:r>
        <w:t>]</w:t>
      </w:r>
      <w:r>
        <w:t xml:space="preserve">Schedule I controlled </w:t>
      </w:r>
      <w:r>
        <w:rPr>
          <w:u w:val="single"/>
        </w:rPr>
        <w:t xml:space="preserve">substances</w:t>
      </w:r>
      <w:r>
        <w:t>[</w:t>
      </w:r>
      <w:r>
        <w:rPr>
          <w:strike w:val="true"/>
        </w:rPr>
        <w:t xml:space="preserve">substance</w:t>
      </w:r>
      <w:r>
        <w:t>]</w:t>
      </w:r>
      <w:r>
        <w:t xml:space="preserve">. The Cabinet for Health and Family Services recognizes that tianeptine </w:t>
      </w:r>
      <w:r>
        <w:rPr>
          <w:u w:val="single"/>
        </w:rPr>
        <w:t xml:space="preserve">and bromazolam</w:t>
      </w:r>
      <w:r>
        <w:rPr>
          <w:u w:val="single"/>
        </w:rPr>
        <w:t xml:space="preserve">have</w:t>
      </w:r>
      <w:r>
        <w:t>[</w:t>
      </w:r>
      <w:r>
        <w:rPr>
          <w:strike w:val="true"/>
        </w:rPr>
        <w:t xml:space="preserve">has</w:t>
      </w:r>
      <w:r>
        <w:t>]</w:t>
      </w:r>
      <w:r>
        <w:t xml:space="preserve"> no accepted medical use in treatment and inclusion on Kentucky's Schedule I list will help reduce the risk to public health. 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t xml:space="preserve">The Cabinet for Health and Family Services designates the following as</w:t>
      </w:r>
      <w:r>
        <w:t>[</w:t>
      </w:r>
      <w:r>
        <w:rPr>
          <w:strike w:val="true"/>
        </w:rPr>
        <w:t xml:space="preserve"> a</w:t>
      </w:r>
      <w:r>
        <w:t>]</w:t>
      </w:r>
      <w:r>
        <w:t xml:space="preserve"> Schedule I controlled </w:t>
      </w:r>
      <w:r>
        <w:rPr>
          <w:u w:val="single"/>
        </w:rPr>
        <w:t xml:space="preserve">substances</w:t>
      </w:r>
      <w:r>
        <w:t>[</w:t>
      </w:r>
      <w:r>
        <w:rPr>
          <w:strike w:val="true"/>
        </w:rPr>
        <w:t xml:space="preserve">substance</w:t>
      </w:r>
      <w:r>
        <w:t>]</w:t>
      </w:r>
      <w:r>
        <w:t xml:space="preserve">:</w:t>
      </w:r>
      <w:r>
        <w:t>[</w:t>
      </w:r>
      <w:r>
        <w:rPr>
          <w:strike w:val="true"/>
        </w:rPr>
        <w:t xml:space="preserve"> tianeptine.</w:t>
      </w:r>
      <w:r>
        <w:t>]</w:t>
      </w:r>
    </w:p>
    <w:p>
      <w:pPr>
        <w:pStyle w:val="kar_paragraph"/>
      </w:pPr>
      <w:r>
        <w:rPr>
          <w:u w:val="single"/>
        </w:rPr>
        <w:t xml:space="preserve">(a)</w:t>
      </w:r>
      <w:r>
        <w:t xml:space="preserve"> </w:t>
      </w:r>
      <w:r>
        <w:rPr>
          <w:u w:val="single"/>
        </w:rPr>
        <w:t xml:space="preserve">Tianeptine;</w:t>
      </w:r>
    </w:p>
    <w:p>
      <w:pPr>
        <w:pStyle w:val="kar_paragraph"/>
      </w:pPr>
      <w:r>
        <w:rPr>
          <w:u w:val="single"/>
        </w:rPr>
        <w:t xml:space="preserve">(b)</w:t>
      </w:r>
      <w:r>
        <w:t xml:space="preserve"> </w:t>
      </w:r>
      <w:r>
        <w:rPr>
          <w:u w:val="single"/>
        </w:rPr>
        <w:t xml:space="preserve">Bromazolam.</w:t>
      </w:r>
    </w:p>
    <w:p>
      <w:pPr>
        <w:pStyle w:val="kar_subsection"/>
      </w:pPr>
      <w: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August 18, 2025</w:t>
      </w:r>
    </w:p>
    <w:p>
      <w:pPr>
        <w:pStyle w:val="kar_filed"/>
      </w:pPr>
      <w:r>
        <w:t xml:space="preserve">FILED WITH LRC: August 18, 2025 at 2:35 p.m.</w:t>
      </w:r>
    </w:p>
    <w:p>
      <w:pPr>
        <w:pStyle w:val="kar_normal"/>
      </w:pPr>
      <w:r>
        <w:t xml:space="preserve"/>
      </w:r>
    </w:p>
    <w:p>
      <w:pPr>
        <w:pStyle w:val="kar_comment_period"/>
      </w:pPr>
      <w:r>
        <w:t xml:space="preserve">PUBLIC HEARING AND PUBLIC COMMENT PERIOD: A public hearing on this administrative regulation shall, if requested, be held on October 21,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14,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October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0"/>
      </w:pPr>
      <w:r>
        <w:t xml:space="preserve">Subject Headings:</w:t>
      </w:r>
      <w:r>
        <w:t xml:space="preserve"> Controlled substance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Kentucky’s schedules of controlled substances.</w:t>
      </w:r>
    </w:p>
    <w:p>
      <w:pPr>
        <w:pStyle w:val="kar_normal"/>
        <w:ind w:left="576"/>
      </w:pPr>
      <w:r>
        <w:t xml:space="preserve">(b) The necessity of this administrative regulation:</w:t>
      </w:r>
    </w:p>
    <w:p>
      <w:pPr>
        <w:pStyle w:val="kar_normal"/>
        <w:ind w:left="720"/>
      </w:pPr>
      <w:r>
        <w:t xml:space="preserve">This administrative regulation is necessary to comply with KRS 218A.020.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218A.020(3), which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designating Kentucky’s schedules of controlled substances.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designates bromazolam as a Schedule I controlled substance.</w:t>
      </w:r>
    </w:p>
    <w:p>
      <w:pPr>
        <w:pStyle w:val="kar_normal"/>
        <w:ind w:left="576"/>
      </w:pPr>
      <w:r>
        <w:t xml:space="preserve">(b) The necessity of the amendment to this administrative regulation:</w:t>
      </w:r>
    </w:p>
    <w:p>
      <w:pPr>
        <w:pStyle w:val="kar_normal"/>
        <w:ind w:left="720"/>
      </w:pPr>
      <w:r>
        <w:t xml:space="preserve">This amendment is in response to a recent request from Van Ingram, Executive Director, Office of Drug Control Policy. Mr. Ingram requested that the cabinet designate bromazolam as a Schedule I controlled substance via emergency administrative regulation. Bromazolam has no accepted medical use in treatment and inclusion on Kentucky's Schedule I list will help reduce the risk to public health. Bromazolam was recently banned by two of Kentucky’s border states, Virginia and West Virginia. Bromazolam is not approved for use by humans or animals by the FDA.</w:t>
      </w:r>
    </w:p>
    <w:p>
      <w:pPr>
        <w:pStyle w:val="kar_normal"/>
        <w:ind w:left="576"/>
      </w:pPr>
      <w:r>
        <w:t xml:space="preserve">(c) How the amendment conforms to the content of the authorizing statutes:</w:t>
      </w:r>
    </w:p>
    <w:p>
      <w:pPr>
        <w:pStyle w:val="kar_normal"/>
        <w:ind w:left="720"/>
      </w:pPr>
      <w:r>
        <w:t xml:space="preserve">In accordance with KRS 218A.020(5), the Office of Drug Control Policy may request the cabinet to schedule any substance that meets the criteria to be scheduled under KRS Chapter 218A. This amendment conforms to the content of KRS 218A.040 by designating bromazolam as a Schedule I controlled substance.</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218A.040 by designating bromazolam as a Schedule I controlled substance.</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Kentucky’s pharmacists and prescribing practitioners. State and local law enforcement agencies would also be impacted.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Bromazolam is not currently prescribed. Pharmacists and doctors should be advised that this drug will now be considered a Schedule I drug. Law enforcement, both local and state, should be advised that possession of this drug without a prescription is subject to laws currently in place regarding possession or sale of an illicit substance.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will be incurred by any entity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Bromazolam is not currently a prescription medication in the U.S. It is currently only purchased illegally and is not approved for use in humans or animals by the U.S. Food and Drug Administration (FDA). Bromazolam is a triazolobenzodiazepine, a type of benzodiazepine, that was first synthesized in 1976 but never marketed. It is known as a "designer drug" and has been identified in the illicit drug market. When benzodiazepines like bromazolam are sometimes prescribed for anxiety, insomnia, and other conditions, they can also lead to dependence and have potential side effects. Studies, like those using drug discrimination tests with rats, have shown bromazolam to have a high potential for substitution and abuse, similar to other benzodiazepines. Inclusion on Kentucky's Schedule I list will help reduce the risk to public health by making possession of the drug illegal.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to be used for the implementation and enforcement of this administrative regulation is from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Tiering is not applicable as compliance with this administrative regulation applies equally to all individuals or entities regulated by it.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218A.020, 21 C.F.R. 1308.11, 1308.12, 1308.13, 1308.14, 1308.15, 1308.35, 1308.49</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impacts the Cabinet for Health and Family Services, Office of Inspector General, and Kentucky’s pharmacists and prescribing practitioners who rely on state and federal regulations for information regarding scheduled drugs as well as state and local law enforcement agencies and the Department of Corrections.</w:t>
      </w:r>
    </w:p>
    <w:p>
      <w:pPr>
        <w:pStyle w:val="kar_normal"/>
        <w:ind w:left="576"/>
      </w:pPr>
      <w:r>
        <w:t xml:space="preserve">(a) Estimate the following for the first year:</w:t>
      </w:r>
    </w:p>
    <w:p>
      <w:pPr>
        <w:pStyle w:val="kar_normal"/>
        <w:ind w:left="864"/>
      </w:pPr>
      <w:r>
        <w:t xml:space="preserve">Expenditures:</w:t>
      </w:r>
      <w:r>
        <w:t xml:space="preserve"> This amendment will not generate additional revenue for state or local government.</w:t>
      </w:r>
    </w:p>
    <w:p>
      <w:pPr>
        <w:pStyle w:val="kar_normal"/>
        <w:ind w:left="864"/>
      </w:pPr>
      <w:r>
        <w:t xml:space="preserve">Revenues:</w:t>
      </w:r>
      <w:r>
        <w:t xml:space="preserve"> This amendment will not generate additional revenue for state or local government.</w:t>
      </w:r>
    </w:p>
    <w:p>
      <w:pPr>
        <w:pStyle w:val="kar_normal"/>
        <w:ind w:left="864"/>
      </w:pPr>
      <w:r>
        <w:t xml:space="preserve">Cost Savings:</w:t>
      </w:r>
      <w:r>
        <w:t xml:space="preserve"> This amendment will not generate any cost savings. (b) How will expenditures, revenue, or cost savings differ in subsequent years? This amendment will not generate additional expenditures, revenue or cost savings for state or local government during subsequent years.</w:t>
      </w:r>
    </w:p>
    <w:p>
      <w:pPr>
        <w:pStyle w:val="kar_normal"/>
        <w:ind w:left="576"/>
      </w:pPr>
      <w:r>
        <w:t xml:space="preserve">(b) How will expenditures, revenues, or cost savings differ in subsequent years?</w:t>
      </w:r>
    </w:p>
    <w:p>
      <w:pPr>
        <w:pStyle w:val="kar_normal"/>
        <w:ind w:left="720"/>
      </w:pPr>
      <w:r>
        <w:t xml:space="preserve">(b) How will expenditures, revenue, or cost savings differ in subsequent years? This amendment will not generate additional expenditures, revenue or cost savings for state or local government during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effect on local entities.</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(4) Identify additional regulated entities not listed in questions (2) or (3):</w:t>
      </w:r>
    </w:p>
    <w:p>
      <w:pPr>
        <w:pStyle w:val="kar_normal"/>
        <w:ind w:left="432"/>
      </w:pPr>
      <w:r>
        <w:t xml:space="preserve">(4) Identify additional regulated entities not identified in questions (2) or (3): All affected entities are listed in questions (2) and (3).</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from this amendment.</w:t>
      </w:r>
    </w:p>
    <w:p>
      <w:pPr>
        <w:pStyle w:val="kar_normal"/>
        <w:ind w:left="864"/>
      </w:pPr>
      <w:r>
        <w:t xml:space="preserve">Revenues:</w:t>
      </w:r>
      <w:r>
        <w:t xml:space="preserve"> No additional revenues are expected as a result of this amendment.</w:t>
      </w:r>
    </w:p>
    <w:p>
      <w:pPr>
        <w:pStyle w:val="kar_normal"/>
        <w:ind w:left="864"/>
      </w:pPr>
      <w:r>
        <w:t xml:space="preserve">Cost Savings:</w:t>
      </w:r>
      <w:r>
        <w:t xml:space="preserve"> No additional cost savings is expected as a result of this amendment.</w:t>
      </w:r>
    </w:p>
    <w:p>
      <w:pPr>
        <w:pStyle w:val="kar_normal"/>
        <w:ind w:left="576"/>
      </w:pPr>
      <w:r>
        <w:t xml:space="preserve">(b) How will expenditures, revenues, or cost savings differ in subsequent years?</w:t>
      </w:r>
    </w:p>
    <w:p>
      <w:pPr>
        <w:pStyle w:val="kar_normal"/>
        <w:ind w:left="720"/>
      </w:pPr>
      <w:r>
        <w:t xml:space="preserve">No additional budgetary impact is expected as a result of this amendment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as a result of the amendment to this regulation.</w:t>
      </w:r>
    </w:p>
    <w:p>
      <w:pPr>
        <w:pStyle w:val="kar_normal"/>
        <w:ind w:left="576"/>
      </w:pPr>
      <w:r>
        <w:t xml:space="preserve">(b) Methodology and resources used to determine the fiscal impact:</w:t>
      </w:r>
    </w:p>
    <w:p>
      <w:pPr>
        <w:pStyle w:val="kar_normal"/>
        <w:ind w:left="720"/>
      </w:pPr>
      <w:r>
        <w:t xml:space="preserve">No money spent; no money gained equals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 Whether this administrative regulation will have an overall negative or adverse economic impact to the entities identified in questions (2) – (4). ($500,000 or more, in aggregate) This administrative regulation is not expected to have a major economic impact on the regulated entities.</w:t>
      </w:r>
    </w:p>
    <w:p>
      <w:pPr>
        <w:pStyle w:val="kar_normal"/>
        <w:ind w:left="576"/>
      </w:pPr>
      <w:r>
        <w:t xml:space="preserve">(b) The methodology and resources used to reach this conclusion:</w:t>
      </w:r>
    </w:p>
    <w:p>
      <w:pPr>
        <w:pStyle w:val="kar_normal"/>
        <w:ind w:left="720"/>
      </w:pPr>
      <w:r>
        <w:t xml:space="preserve">No money spent; no money gained equals no fiscal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1308.11, 1308.12, 1308.13, 1308.14, 1308.15, 1308.35, 1308.49.</w:t>
      </w:r>
    </w:p>
    <w:p>
      <w:pPr>
        <w:pStyle w:val="kar_normal"/>
        <w:ind w:left="288"/>
      </w:pPr>
      <w:r>
        <w:t xml:space="preserve">(2) State compliance standards.</w:t>
      </w:r>
    </w:p>
    <w:p>
      <w:pPr>
        <w:pStyle w:val="kar_normal"/>
        <w:ind w:left="432"/>
      </w:pPr>
      <w:r>
        <w:t xml:space="preserve">KRS 218A.020.</w:t>
      </w:r>
    </w:p>
    <w:p>
      <w:pPr>
        <w:pStyle w:val="kar_normal"/>
        <w:ind w:left="288"/>
      </w:pPr>
      <w:r>
        <w:t xml:space="preserve">(3) Minimum or uniform standards contained in the federal mandate.</w:t>
      </w:r>
    </w:p>
    <w:p>
      <w:pPr>
        <w:pStyle w:val="kar_normal"/>
        <w:ind w:left="432"/>
      </w:pPr>
      <w:r>
        <w:t xml:space="preserve">21 C.F.R. 1308.11 lists controlled substances that have been classified by the DEA as Schedule I drugs. 21 C.F.R. 1308. Bromazolam is a triazolobendiazepine, a type of benzodiazepine. 21 C.F.R. 1308.49 allows the DEA to place a substance into Schedule I on a temporary basis if such action is necessary to avoid an imminent hazard to the public safety.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 the federal government has not scheduled this drug; however, the federal government has sent out warnings and is leaving the decision up to states to control. This administrative regulation differs from the federal regulation because it designates bromazolam as a Schedule I controlled substance. Bromazolam is not currently controlled under the federal Controlled Substances Act. Bromazolam is not a prescription medication and is not approved by the FDA for use in humans or animals. This administrative regulation differs from the federal regulation because it designates bromazolam is not yet regulated by the federal government, although it is not approved for any use by the FDA.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cabinet recognizes that bramazolam has no accepted medical use in treatment and inclusion on Kentucky's Schedule I list will help reduce the risk to public health.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59f76f6c44eac" /><Relationship Type="http://schemas.openxmlformats.org/officeDocument/2006/relationships/settings" Target="/word/settings.xml" Id="R7ccd6a8de57149db" /></Relationships>
</file>